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wmf" ContentType="image/x-wmf"/>
  <Override PartName="/word/comments.xml" ContentType="application/vnd.openxmlformats-officedocument.wordprocessingml.comment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312" w:before="0" w:after="288"/>
        <w:contextualSpacing/>
        <w:jc w:val="center"/>
        <w:rPr>
          <w:rFonts w:ascii="Calibri" w:hAnsi="Calibri"/>
          <w:color w:val="000000"/>
          <w:sz w:val="22"/>
          <w:szCs w:val="22"/>
        </w:rPr>
      </w:pPr>
      <w:commentRangeStart w:id="0"/>
      <w:commentRangeStart w:id="1"/>
      <w:r>
        <w:rPr>
          <w:rFonts w:cs="Arial" w:ascii="Times New Roman" w:hAnsi="Times New Roman"/>
          <w:b/>
          <w:bCs/>
          <w:color w:val="000000" w:themeColor="text1"/>
          <w:sz w:val="22"/>
          <w:szCs w:val="22"/>
        </w:rPr>
        <w:t>MODELO DE TERMO DE REFERÊNCIA</w:t>
      </w:r>
      <w:r>
        <w:rPr>
          <w:rFonts w:cs="Arial" w:ascii="Times New Roman" w:hAnsi="Times New Roman"/>
          <w:b/>
          <w:bCs/>
          <w:color w:val="000000" w:themeColor="text1"/>
          <w:sz w:val="22"/>
          <w:szCs w:val="22"/>
        </w:rPr>
      </w:r>
      <w:commentRangeEnd w:id="1"/>
      <w:r>
        <w:commentReference w:id="1"/>
      </w:r>
      <w:r>
        <w:rPr>
          <w:rFonts w:cs="Arial" w:ascii="Times New Roman" w:hAnsi="Times New Roman"/>
          <w:b/>
          <w:bCs/>
          <w:color w:val="000000" w:themeColor="text1"/>
          <w:sz w:val="22"/>
          <w:szCs w:val="22"/>
        </w:rPr>
        <w:br/>
        <w:t>Lei nº 14.133, de 1º de abril de 2021</w:t>
        <w:br/>
        <w:t>AQUISIÇÕES, EXCETO TIC</w:t>
      </w:r>
    </w:p>
    <w:p>
      <w:pPr>
        <w:pStyle w:val="Normal"/>
        <w:spacing w:lineRule="auto" w:line="312" w:before="0" w:after="288"/>
        <w:contextualSpacing/>
        <w:jc w:val="center"/>
        <w:rPr>
          <w:rFonts w:ascii="Calibri" w:hAnsi="Calibri"/>
          <w:color w:val="000000"/>
          <w:sz w:val="22"/>
          <w:szCs w:val="22"/>
        </w:rPr>
      </w:pPr>
      <w:r>
        <w:rPr>
          <w:rFonts w:cs="Arial" w:ascii="Times New Roman" w:hAnsi="Times New Roman"/>
          <w:b/>
          <w:bCs/>
          <w:color w:val="000000" w:themeColor="text1"/>
          <w:sz w:val="22"/>
          <w:szCs w:val="22"/>
        </w:rPr>
        <w:t>LICITAÇÃO E CONTRATAÇÃO DIRETA</w:t>
      </w:r>
      <w:commentRangeEnd w:id="0"/>
      <w:r>
        <w:commentReference w:id="0"/>
      </w:r>
      <w:r>
        <w:rPr>
          <w:rFonts w:cs="Arial" w:ascii="Times New Roman" w:hAnsi="Times New Roman"/>
          <w:b/>
          <w:bCs/>
          <w:color w:val="000000" w:themeColor="text1"/>
          <w:sz w:val="22"/>
          <w:szCs w:val="22"/>
        </w:rPr>
      </w:r>
    </w:p>
    <w:p>
      <w:pPr>
        <w:pStyle w:val="Normal"/>
        <w:spacing w:lineRule="auto" w:line="312" w:before="360" w:after="288"/>
        <w:jc w:val="center"/>
        <w:rPr>
          <w:rFonts w:ascii="Calibri" w:hAnsi="Calibri"/>
          <w:color w:val="000000"/>
          <w:sz w:val="22"/>
          <w:szCs w:val="22"/>
        </w:rPr>
      </w:pPr>
      <w:r>
        <w:drawing>
          <wp:anchor behindDoc="0" distT="0" distB="0" distL="114300" distR="114300" simplePos="0" locked="0" layoutInCell="0" allowOverlap="1" relativeHeight="2">
            <wp:simplePos x="0" y="0"/>
            <wp:positionH relativeFrom="margin">
              <wp:posOffset>2818130</wp:posOffset>
            </wp:positionH>
            <wp:positionV relativeFrom="paragraph">
              <wp:posOffset>64135</wp:posOffset>
            </wp:positionV>
            <wp:extent cx="737870" cy="805815"/>
            <wp:effectExtent l="0" t="0" r="0" b="0"/>
            <wp:wrapTopAndBottom/>
            <wp:docPr id="1" name="Imagem 186696377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866963775" descr=""/>
                    <pic:cNvPicPr>
                      <a:picLocks noChangeAspect="1" noChangeArrowheads="1"/>
                    </pic:cNvPicPr>
                  </pic:nvPicPr>
                  <pic:blipFill>
                    <a:blip r:embed="rId2"/>
                    <a:stretch>
                      <a:fillRect/>
                    </a:stretch>
                  </pic:blipFill>
                  <pic:spPr bwMode="auto">
                    <a:xfrm>
                      <a:off x="0" y="0"/>
                      <a:ext cx="737870" cy="805815"/>
                    </a:xfrm>
                    <a:prstGeom prst="rect">
                      <a:avLst/>
                    </a:prstGeom>
                  </pic:spPr>
                </pic:pic>
              </a:graphicData>
            </a:graphic>
          </wp:anchor>
        </w:drawing>
      </w:r>
      <w:r>
        <w:rPr>
          <w:rFonts w:eastAsia="Times New Roman" w:cs="Arial" w:ascii="Times New Roman" w:hAnsi="Times New Roman"/>
          <w:b/>
          <w:i/>
          <w:color w:val="000000"/>
          <w:sz w:val="22"/>
          <w:szCs w:val="22"/>
        </w:rPr>
        <w:t>MARINHA DO BRASIL</w:t>
      </w:r>
    </w:p>
    <w:p>
      <w:pPr>
        <w:pStyle w:val="Normal"/>
        <w:spacing w:lineRule="auto" w:line="312" w:before="360" w:after="288"/>
        <w:jc w:val="center"/>
        <w:rPr>
          <w:rFonts w:ascii="Calibri" w:hAnsi="Calibri"/>
          <w:color w:val="000000"/>
          <w:sz w:val="22"/>
          <w:szCs w:val="22"/>
        </w:rPr>
      </w:pPr>
      <w:r>
        <w:rPr>
          <w:rFonts w:eastAsia="Times New Roman" w:cs="Arial" w:ascii="Times New Roman" w:hAnsi="Times New Roman"/>
          <w:b/>
          <w:i/>
          <w:color w:val="000000"/>
          <w:sz w:val="22"/>
          <w:szCs w:val="22"/>
        </w:rPr>
        <w:t>COMANDO DO 1º DISTRITO NAVAL</w:t>
      </w:r>
    </w:p>
    <w:p>
      <w:pPr>
        <w:pStyle w:val="Normal"/>
        <w:spacing w:lineRule="auto" w:line="312" w:before="120" w:after="288"/>
        <w:jc w:val="center"/>
        <w:rPr/>
      </w:pPr>
      <w:r>
        <w:rPr>
          <w:rFonts w:cs="Arial" w:ascii="Times New Roman" w:hAnsi="Times New Roman"/>
          <w:i w:val="false"/>
          <w:iCs w:val="false"/>
          <w:color w:val="000000"/>
          <w:sz w:val="22"/>
          <w:szCs w:val="22"/>
        </w:rPr>
        <w:t>(Processo Administrativo n</w:t>
      </w:r>
      <w:r>
        <w:rPr>
          <w:rFonts w:cs="Arial" w:ascii="Times New Roman" w:hAnsi="Times New Roman"/>
          <w:bCs/>
          <w:i w:val="false"/>
          <w:iCs w:val="false"/>
          <w:color w:val="000000"/>
          <w:sz w:val="22"/>
          <w:szCs w:val="22"/>
        </w:rPr>
        <w:t xml:space="preserve">° </w:t>
      </w:r>
      <w:r>
        <w:rPr>
          <w:rStyle w:val="Nfaseforte"/>
          <w:rFonts w:eastAsia="Times New Roman" w:cs="Arial" w:ascii="Times New Roman" w:hAnsi="Times New Roman"/>
          <w:i w:val="false"/>
          <w:iCs/>
          <w:strike w:val="false"/>
          <w:dstrike w:val="false"/>
          <w:outline w:val="false"/>
          <w:shadow w:val="false"/>
          <w:color w:val="000000"/>
          <w:spacing w:val="0"/>
          <w:kern w:val="0"/>
          <w:sz w:val="22"/>
          <w:szCs w:val="22"/>
          <w:highlight w:val="white"/>
          <w:u w:val="none"/>
          <w:em w:val="none"/>
          <w:lang w:val="pt-BR" w:eastAsia="en-US" w:bidi="zxx"/>
        </w:rPr>
        <w:t>62002.005395/2025-31</w:t>
      </w:r>
      <w:r>
        <w:rPr>
          <w:rStyle w:val="Strong"/>
          <w:rFonts w:cs="Arial" w:ascii="Times New Roman" w:hAnsi="Times New Roman"/>
          <w:b w:val="false"/>
          <w:bCs w:val="false"/>
          <w:i w:val="false"/>
          <w:iCs w:val="false"/>
          <w:color w:val="000000"/>
          <w:sz w:val="22"/>
          <w:szCs w:val="22"/>
        </w:rPr>
        <w:t>)</w:t>
      </w:r>
    </w:p>
    <w:p>
      <w:pPr>
        <w:pStyle w:val="Normal"/>
        <w:spacing w:lineRule="auto" w:line="312" w:before="0" w:after="288"/>
        <w:jc w:val="center"/>
        <w:rPr>
          <w:rFonts w:ascii="Calibri" w:hAnsi="Calibri"/>
          <w:color w:val="000000"/>
          <w:sz w:val="22"/>
          <w:szCs w:val="22"/>
        </w:rPr>
      </w:pPr>
      <w:r>
        <w:rPr>
          <w:rFonts w:cs="Arial" w:ascii="Times New Roman" w:hAnsi="Times New Roman"/>
          <w:b/>
          <w:bCs/>
          <w:color w:val="000000" w:themeColor="text1"/>
          <w:sz w:val="22"/>
          <w:szCs w:val="22"/>
        </w:rPr>
        <w:t>TERMO DE REFERÊNCIA</w:t>
      </w:r>
    </w:p>
    <w:p>
      <w:pPr>
        <w:pStyle w:val="Nivel01"/>
        <w:numPr>
          <w:ilvl w:val="0"/>
          <w:numId w:val="1"/>
        </w:numPr>
        <w:ind w:left="357" w:right="0" w:hanging="357"/>
        <w:rPr>
          <w:b w:val="false"/>
          <w:b w:val="false"/>
          <w:bCs w:val="false"/>
          <w:i w:val="false"/>
          <w:i w:val="false"/>
          <w:iCs w:val="false"/>
        </w:rPr>
      </w:pPr>
      <w:bookmarkStart w:id="0" w:name="_Hlk176363679"/>
      <w:bookmarkEnd w:id="0"/>
      <w:r>
        <w:rPr>
          <w:b/>
          <w:bCs/>
          <w:i w:val="false"/>
          <w:iCs w:val="false"/>
          <w:color w:val="000000"/>
          <w:sz w:val="22"/>
          <w:szCs w:val="22"/>
        </w:rPr>
        <w:t>CONDIÇÕES GERAIS DA CONTRATAÇÃO</w:t>
      </w:r>
    </w:p>
    <w:p>
      <w:pPr>
        <w:pStyle w:val="Nivel2"/>
        <w:widowControl/>
        <w:numPr>
          <w:ilvl w:val="1"/>
          <w:numId w:val="1"/>
        </w:numPr>
        <w:suppressAutoHyphens w:val="true"/>
        <w:bidi w:val="0"/>
        <w:spacing w:lineRule="auto" w:line="288" w:before="120" w:after="120"/>
        <w:ind w:left="0" w:hanging="0"/>
        <w:jc w:val="both"/>
        <w:rPr/>
      </w:pPr>
      <w:bookmarkStart w:id="1" w:name="_Ref172096041"/>
      <w:r>
        <w:rPr>
          <w:rFonts w:eastAsia="Arial" w:cs="Arial"/>
          <w:color w:val="000000"/>
          <w:kern w:val="0"/>
          <w:sz w:val="22"/>
          <w:szCs w:val="22"/>
          <w:highlight w:val="white"/>
          <w:lang w:val="pt-BR" w:eastAsia="zxx" w:bidi="ar-SA"/>
        </w:rPr>
        <w:t xml:space="preserve">Eventual </w:t>
      </w:r>
      <w:r>
        <w:rPr>
          <w:rFonts w:eastAsia="Times New Roman" w:cs="Calibri"/>
          <w:bCs/>
          <w:color w:val="000000"/>
          <w:spacing w:val="4"/>
          <w:kern w:val="2"/>
          <w:sz w:val="22"/>
          <w:szCs w:val="22"/>
          <w:highlight w:val="white"/>
          <w:shd w:fill="FFFFFF" w:val="clear"/>
          <w:lang w:val="pt-BR" w:eastAsia="pt-BR" w:bidi="zxx"/>
        </w:rPr>
        <w:t>aquisição de tintas e material de marinharia, com o objetivo de atender às necessidades do Comando do Primeiro Distrito Naval (Com1°DN), do Hotel de Trânsito da Marinha (HTMRJ) e do Posto Oceanográfico da Ilha da Trindade (POIT)</w:t>
      </w:r>
      <w:r>
        <w:rPr>
          <w:rFonts w:eastAsia="Arial" w:cs="Arial"/>
          <w:color w:val="000000"/>
          <w:kern w:val="0"/>
          <w:sz w:val="22"/>
          <w:szCs w:val="22"/>
          <w:highlight w:val="white"/>
          <w:lang w:val="pt-BR" w:eastAsia="zxx" w:bidi="ar-SA"/>
        </w:rPr>
        <w:t>, em itens, conforme condições, quantidades e exigências estabelecidas no Edital e seus anexos</w:t>
      </w:r>
      <w:bookmarkEnd w:id="1"/>
      <w:r>
        <w:rPr>
          <w:rFonts w:eastAsia="Arial" w:cs="Arial"/>
          <w:color w:val="000000"/>
          <w:kern w:val="0"/>
          <w:sz w:val="22"/>
          <w:szCs w:val="22"/>
          <w:highlight w:val="white"/>
          <w:lang w:val="pt-BR" w:eastAsia="zxx" w:bidi="ar-SA"/>
        </w:rPr>
        <w:t xml:space="preserve">, conforme a Tabela prevista no </w:t>
      </w:r>
      <w:r>
        <w:rPr>
          <w:rFonts w:eastAsia="Arial" w:cs="Arial"/>
          <w:b/>
          <w:bCs/>
          <w:color w:val="000000"/>
          <w:kern w:val="0"/>
          <w:sz w:val="22"/>
          <w:szCs w:val="22"/>
          <w:highlight w:val="white"/>
          <w:lang w:val="pt-BR" w:eastAsia="zxx" w:bidi="ar-SA"/>
        </w:rPr>
        <w:t>Apêndice II</w:t>
      </w:r>
      <w:r>
        <w:rPr>
          <w:rFonts w:eastAsia="Arial" w:cs="Arial"/>
          <w:color w:val="000000"/>
          <w:kern w:val="0"/>
          <w:sz w:val="22"/>
          <w:szCs w:val="22"/>
          <w:highlight w:val="white"/>
          <w:lang w:val="pt-BR" w:eastAsia="zxx" w:bidi="ar-SA"/>
        </w:rPr>
        <w:t xml:space="preserve"> deste Termo de Referência.</w:t>
      </w:r>
    </w:p>
    <w:p>
      <w:pPr>
        <w:pStyle w:val="Nivel2"/>
        <w:widowControl/>
        <w:numPr>
          <w:ilvl w:val="1"/>
          <w:numId w:val="1"/>
        </w:numPr>
        <w:suppressAutoHyphens w:val="true"/>
        <w:bidi w:val="0"/>
        <w:spacing w:lineRule="auto" w:line="288" w:before="120" w:after="120"/>
        <w:ind w:left="0" w:hanging="0"/>
        <w:jc w:val="both"/>
        <w:rPr/>
      </w:pPr>
      <w:r>
        <w:rPr>
          <w:b w:val="false"/>
          <w:bCs w:val="false"/>
          <w:sz w:val="22"/>
          <w:szCs w:val="22"/>
        </w:rPr>
        <w:t>Os bens objeto desta contratação são caracterizados como comuns, conforme justificativa constante do Estudo Técnico Preliminar.</w:t>
      </w:r>
    </w:p>
    <w:p>
      <w:pPr>
        <w:pStyle w:val="Nivel2"/>
        <w:widowControl/>
        <w:numPr>
          <w:ilvl w:val="1"/>
          <w:numId w:val="1"/>
        </w:numPr>
        <w:suppressAutoHyphens w:val="true"/>
        <w:bidi w:val="0"/>
        <w:spacing w:lineRule="auto" w:line="288" w:before="120" w:after="120"/>
        <w:ind w:left="0" w:hanging="0"/>
        <w:jc w:val="both"/>
        <w:rPr/>
      </w:pPr>
      <w:r>
        <w:rPr>
          <w:b w:val="false"/>
          <w:bCs w:val="false"/>
          <w:sz w:val="22"/>
          <w:szCs w:val="22"/>
        </w:rPr>
        <w:t>O objeto desta contratação não se enquadra como bem de luxo, conforme Decreto nº 10.818, de 27 de setembro de 2021.</w:t>
      </w:r>
    </w:p>
    <w:p>
      <w:pPr>
        <w:pStyle w:val="Nivel2"/>
        <w:widowControl/>
        <w:numPr>
          <w:ilvl w:val="1"/>
          <w:numId w:val="1"/>
        </w:numPr>
        <w:suppressAutoHyphens w:val="true"/>
        <w:bidi w:val="0"/>
        <w:spacing w:lineRule="auto" w:line="288" w:before="120" w:after="120"/>
        <w:ind w:left="0" w:hanging="0"/>
        <w:jc w:val="both"/>
        <w:rPr/>
      </w:pPr>
      <w:r>
        <w:rPr>
          <w:rFonts w:eastAsia="Arial" w:cs="Arial"/>
          <w:b w:val="false"/>
          <w:bCs w:val="false"/>
          <w:iCs/>
          <w:sz w:val="22"/>
          <w:szCs w:val="22"/>
          <w:lang w:eastAsia="pt-BR"/>
        </w:rPr>
        <w:t>O prazo de vigência da contratação é de 60</w:t>
      </w:r>
      <w:r>
        <w:rPr>
          <w:rFonts w:eastAsia="Arial" w:cs="Arial"/>
          <w:b/>
          <w:bCs/>
          <w:iCs/>
          <w:sz w:val="22"/>
          <w:szCs w:val="22"/>
          <w:lang w:eastAsia="pt-BR"/>
        </w:rPr>
        <w:t xml:space="preserve"> (sessenta) dias</w:t>
      </w:r>
      <w:r>
        <w:rPr>
          <w:rFonts w:eastAsia="Arial" w:cs="Arial"/>
          <w:b w:val="false"/>
          <w:bCs w:val="false"/>
          <w:iCs/>
          <w:sz w:val="22"/>
          <w:szCs w:val="22"/>
          <w:lang w:eastAsia="pt-BR"/>
        </w:rPr>
        <w:t xml:space="preserve"> contados da assinatura da Ata, na forma do artigo 105 da Lei n° 14.133, de 2021</w:t>
      </w:r>
    </w:p>
    <w:p>
      <w:pPr>
        <w:pStyle w:val="Nivel2"/>
        <w:widowControl/>
        <w:numPr>
          <w:ilvl w:val="1"/>
          <w:numId w:val="1"/>
        </w:numPr>
        <w:suppressAutoHyphens w:val="true"/>
        <w:bidi w:val="0"/>
        <w:spacing w:lineRule="auto" w:line="288" w:before="120" w:after="120"/>
        <w:ind w:left="0" w:hanging="0"/>
        <w:jc w:val="both"/>
        <w:rPr/>
      </w:pPr>
      <w:r>
        <w:rPr>
          <w:sz w:val="22"/>
          <w:szCs w:val="22"/>
        </w:rPr>
        <w:t>O contrato ou outro instrumento hábil que o substitua oferece maior detalhamento das regras que serão aplicadas em relação à vigência da contratação.</w:t>
      </w:r>
    </w:p>
    <w:p>
      <w:pPr>
        <w:pStyle w:val="Nivel01"/>
        <w:numPr>
          <w:ilvl w:val="0"/>
          <w:numId w:val="1"/>
        </w:numPr>
        <w:ind w:left="357" w:right="0" w:hanging="357"/>
        <w:rPr/>
      </w:pPr>
      <w:r>
        <w:rPr>
          <w:b/>
          <w:bCs/>
          <w:i w:val="false"/>
          <w:iCs w:val="false"/>
          <w:color w:val="000000"/>
          <w:sz w:val="22"/>
          <w:szCs w:val="22"/>
        </w:rPr>
        <w:t>FUNDAMENTAÇÃO E DESCRIÇÃO DA NECESSIDADE DA CONTRATAÇÃO</w:t>
      </w:r>
    </w:p>
    <w:p>
      <w:pPr>
        <w:pStyle w:val="Nivel01"/>
        <w:numPr>
          <w:ilvl w:val="1"/>
          <w:numId w:val="1"/>
        </w:numPr>
        <w:ind w:left="357" w:right="0" w:hanging="357"/>
        <w:rPr>
          <w:rFonts w:ascii="Times New Roman" w:hAnsi="Times New Roman"/>
          <w:b w:val="false"/>
          <w:b w:val="false"/>
          <w:bCs w:val="false"/>
          <w:i w:val="false"/>
          <w:i w:val="false"/>
          <w:iCs w:val="false"/>
          <w:sz w:val="22"/>
          <w:szCs w:val="22"/>
        </w:rPr>
      </w:pPr>
      <w:bookmarkStart w:id="2" w:name="_Hlk170988156"/>
      <w:r>
        <w:rPr>
          <w:b w:val="false"/>
          <w:bCs w:val="false"/>
          <w:i w:val="false"/>
          <w:iCs w:val="false"/>
          <w:color w:val="000000"/>
          <w:sz w:val="22"/>
          <w:szCs w:val="22"/>
        </w:rPr>
        <w:t>A Fundamentação da Contratação e de seus quantitativos encontra-se pormenorizada em tópico específico dos Estudos Técnicos Preliminares, apêndice deste Termo de Referência.</w:t>
      </w:r>
      <w:bookmarkEnd w:id="2"/>
    </w:p>
    <w:p>
      <w:pPr>
        <w:pStyle w:val="Nivel01"/>
        <w:numPr>
          <w:ilvl w:val="1"/>
          <w:numId w:val="1"/>
        </w:numPr>
        <w:ind w:left="357" w:right="0" w:hanging="357"/>
        <w:rPr/>
      </w:pPr>
      <w:r>
        <w:rPr>
          <w:b w:val="false"/>
          <w:bCs w:val="false"/>
          <w:i w:val="false"/>
          <w:iCs w:val="false"/>
          <w:color w:val="000000"/>
          <w:sz w:val="22"/>
          <w:szCs w:val="22"/>
        </w:rPr>
        <w:t xml:space="preserve">O objeto da contratação está previsto no Plano de Contratações Anual 2025, </w:t>
      </w:r>
      <w:r>
        <w:rPr>
          <w:rFonts w:eastAsia="Arial" w:cs="Arial"/>
          <w:b w:val="false"/>
          <w:bCs w:val="false"/>
          <w:i w:val="false"/>
          <w:iCs/>
          <w:color w:val="000000"/>
          <w:sz w:val="22"/>
          <w:szCs w:val="22"/>
          <w:lang w:eastAsia="pt-BR"/>
        </w:rPr>
        <w:t>conforme consta das informações básicas desse Termo de Referência.</w:t>
      </w:r>
    </w:p>
    <w:p>
      <w:pPr>
        <w:pStyle w:val="Nivel01"/>
        <w:numPr>
          <w:ilvl w:val="0"/>
          <w:numId w:val="0"/>
        </w:numPr>
        <w:ind w:left="1709" w:right="0" w:hanging="0"/>
        <w:rPr/>
      </w:pPr>
      <w:r>
        <w:rPr>
          <w:rFonts w:eastAsia="Arial" w:cs="Arial"/>
          <w:b w:val="false"/>
          <w:bCs w:val="false"/>
          <w:i w:val="false"/>
          <w:iCs w:val="false"/>
          <w:color w:val="000000"/>
          <w:sz w:val="22"/>
          <w:szCs w:val="22"/>
          <w:lang w:eastAsia="pt-BR"/>
        </w:rPr>
        <w:t xml:space="preserve">      </w:t>
      </w:r>
    </w:p>
    <w:p>
      <w:pPr>
        <w:pStyle w:val="Nivel01"/>
        <w:widowControl/>
        <w:numPr>
          <w:ilvl w:val="0"/>
          <w:numId w:val="1"/>
        </w:numPr>
        <w:suppressAutoHyphens w:val="true"/>
        <w:bidi w:val="0"/>
        <w:spacing w:lineRule="auto" w:line="276" w:before="360" w:after="120"/>
        <w:ind w:left="357" w:right="0" w:hanging="357"/>
        <w:contextualSpacing/>
        <w:jc w:val="both"/>
        <w:rPr/>
      </w:pPr>
      <w:r>
        <w:rPr>
          <w:rFonts w:eastAsia="Arial" w:cs="Arial"/>
          <w:b/>
          <w:bCs/>
          <w:i w:val="false"/>
          <w:iCs w:val="false"/>
          <w:color w:val="000000"/>
          <w:kern w:val="0"/>
          <w:sz w:val="22"/>
          <w:szCs w:val="22"/>
          <w:lang w:val="pt-BR" w:eastAsia="pt-BR" w:bidi="ar-SA"/>
        </w:rPr>
        <w:t>DESCRIÇÃO DA SOLUÇÃO COMO UM TODO CONSIDERADO O CICLO DE VIDA DO OBJETO E ESPECIFICAÇÃO DO PRODUTO</w:t>
      </w:r>
    </w:p>
    <w:p>
      <w:pPr>
        <w:pStyle w:val="Nivel01"/>
        <w:widowControl/>
        <w:numPr>
          <w:ilvl w:val="1"/>
          <w:numId w:val="1"/>
        </w:numPr>
        <w:suppressAutoHyphens w:val="true"/>
        <w:bidi w:val="0"/>
        <w:spacing w:lineRule="auto" w:line="276"/>
        <w:ind w:left="357" w:right="0" w:hanging="357"/>
        <w:jc w:val="both"/>
        <w:rPr/>
      </w:pPr>
      <w:bookmarkStart w:id="3" w:name="_Ref121236534"/>
      <w:commentRangeStart w:id="2"/>
      <w:r>
        <w:rPr>
          <w:b w:val="false"/>
          <w:bCs w:val="false"/>
          <w:i w:val="false"/>
          <w:iCs w:val="false"/>
          <w:color w:val="000000"/>
          <w:sz w:val="22"/>
          <w:szCs w:val="22"/>
        </w:rPr>
        <w:t>A descrição da solução como um todo encontra-se pormenorizada em tópico específico dos Estudos Técnicos Preliminares, apêndice deste Termo de Referência.</w:t>
      </w:r>
      <w:bookmarkEnd w:id="3"/>
    </w:p>
    <w:p>
      <w:pPr>
        <w:pStyle w:val="Nivel01"/>
        <w:widowControl/>
        <w:numPr>
          <w:ilvl w:val="0"/>
          <w:numId w:val="0"/>
        </w:numPr>
        <w:suppressAutoHyphens w:val="true"/>
        <w:bidi w:val="0"/>
        <w:spacing w:lineRule="auto" w:line="276"/>
        <w:ind w:left="1709" w:right="0" w:hanging="0"/>
        <w:jc w:val="both"/>
        <w:rPr/>
      </w:pPr>
      <w:commentRangeEnd w:id="2"/>
      <w:r>
        <w:commentReference w:id="2"/>
      </w:r>
      <w:r>
        <w:rPr/>
      </w:r>
    </w:p>
    <w:p>
      <w:pPr>
        <w:pStyle w:val="Nivel01"/>
        <w:numPr>
          <w:ilvl w:val="0"/>
          <w:numId w:val="1"/>
        </w:numPr>
        <w:ind w:left="357" w:right="0" w:hanging="357"/>
        <w:rPr>
          <w:rFonts w:ascii="Times New Roman" w:hAnsi="Times New Roman"/>
          <w:b w:val="false"/>
          <w:b w:val="false"/>
          <w:bCs w:val="false"/>
          <w:sz w:val="22"/>
          <w:szCs w:val="22"/>
        </w:rPr>
      </w:pPr>
      <w:r>
        <w:rPr>
          <w:b/>
          <w:bCs/>
          <w:i w:val="false"/>
          <w:iCs w:val="false"/>
          <w:color w:val="000000"/>
          <w:sz w:val="22"/>
          <w:szCs w:val="22"/>
        </w:rPr>
        <w:t>REQUISITOS DA CONTRATAÇÃO</w:t>
      </w:r>
    </w:p>
    <w:p>
      <w:pPr>
        <w:pStyle w:val="Nivel01"/>
        <w:widowControl/>
        <w:numPr>
          <w:ilvl w:val="0"/>
          <w:numId w:val="0"/>
        </w:numPr>
        <w:suppressAutoHyphens w:val="true"/>
        <w:bidi w:val="0"/>
        <w:spacing w:lineRule="auto" w:line="276" w:before="0" w:after="0"/>
        <w:ind w:left="1495" w:right="0" w:hanging="0"/>
        <w:contextualSpacing/>
        <w:jc w:val="left"/>
        <w:rPr>
          <w:rFonts w:ascii="Times New Roman" w:hAnsi="Times New Roman" w:eastAsia="Arial" w:cs="Arial"/>
          <w:iCs/>
          <w:color w:val="auto"/>
          <w:kern w:val="0"/>
          <w:sz w:val="22"/>
          <w:szCs w:val="22"/>
          <w:lang w:val="pt-BR" w:eastAsia="pt-BR" w:bidi="ar-SA"/>
        </w:rPr>
      </w:pPr>
      <w:r>
        <w:rPr>
          <w:rFonts w:eastAsia="Arial" w:cs="Arial"/>
          <w:iCs/>
          <w:color w:val="auto"/>
          <w:kern w:val="0"/>
          <w:sz w:val="22"/>
          <w:szCs w:val="22"/>
          <w:lang w:val="pt-BR" w:eastAsia="pt-BR" w:bidi="ar-SA"/>
        </w:rPr>
        <w:t>Sustentabilidade</w:t>
      </w:r>
    </w:p>
    <w:p>
      <w:pPr>
        <w:pStyle w:val="Nivel01"/>
        <w:numPr>
          <w:ilvl w:val="1"/>
          <w:numId w:val="1"/>
        </w:numPr>
        <w:ind w:left="357" w:right="0" w:hanging="357"/>
        <w:rPr/>
      </w:pPr>
      <w:r>
        <w:rPr>
          <w:rFonts w:eastAsia="Arial" w:cs="Arial"/>
          <w:b w:val="false"/>
          <w:bCs w:val="false"/>
          <w:iCs/>
          <w:color w:val="auto"/>
          <w:kern w:val="0"/>
          <w:sz w:val="22"/>
          <w:szCs w:val="22"/>
          <w:lang w:val="pt-BR" w:eastAsia="pt-BR" w:bidi="ar-SA"/>
        </w:rPr>
        <w:t>Além</w:t>
      </w:r>
      <w:r>
        <w:rPr>
          <w:rFonts w:eastAsia="Arial"/>
          <w:b w:val="false"/>
          <w:bCs w:val="false"/>
          <w:iCs/>
          <w:color w:val="auto"/>
          <w:sz w:val="22"/>
          <w:szCs w:val="22"/>
          <w:lang w:eastAsia="pt-BR"/>
        </w:rPr>
        <w:t xml:space="preserve"> dos critérios de sustentabilidade eventualmente inseridos na descrição do objeto, devem ser atendidos os seguintes requisitos, que se baseiam no Guia Nacional de Contratações Sustentáveis:</w:t>
      </w:r>
    </w:p>
    <w:p>
      <w:pPr>
        <w:pStyle w:val="Nivel01"/>
        <w:widowControl/>
        <w:numPr>
          <w:ilvl w:val="2"/>
          <w:numId w:val="1"/>
        </w:numPr>
        <w:suppressAutoHyphens w:val="true"/>
        <w:bidi w:val="0"/>
        <w:spacing w:lineRule="auto" w:line="276" w:before="0" w:after="0"/>
        <w:ind w:left="3624" w:right="0" w:hanging="504"/>
        <w:contextualSpacing/>
        <w:rPr>
          <w:rFonts w:ascii="Times New Roman" w:hAnsi="Times New Roman" w:eastAsia="Arial" w:cs="Arial"/>
          <w:b w:val="false"/>
          <w:b w:val="false"/>
          <w:bCs w:val="false"/>
          <w:iCs/>
          <w:kern w:val="0"/>
          <w:sz w:val="22"/>
          <w:szCs w:val="22"/>
          <w:lang w:val="pt-BR" w:bidi="ar-SA"/>
        </w:rPr>
      </w:pPr>
      <w:r>
        <w:rPr>
          <w:rFonts w:eastAsia="Arial" w:cs="Arial"/>
          <w:b w:val="false"/>
          <w:bCs w:val="false"/>
          <w:iCs/>
          <w:kern w:val="0"/>
          <w:sz w:val="22"/>
          <w:szCs w:val="22"/>
          <w:lang w:val="pt-BR" w:bidi="ar-SA"/>
        </w:rPr>
        <w:t>Que os produtos não contenham substâncias perigosas em concentração acima da recomendada na diretiva RoHS (Restriction of Certain Hazardous Substances), tais como mercúrio (Hg), chumbo (Pb), cromo hexavalente (Cr(VI)), cádmio (Cd), bifenilpolibromados (PBBs), éteres difenil-polibromados (PBDEs).</w:t>
      </w:r>
    </w:p>
    <w:p>
      <w:pPr>
        <w:pStyle w:val="Nivel01"/>
        <w:widowControl/>
        <w:numPr>
          <w:ilvl w:val="2"/>
          <w:numId w:val="1"/>
        </w:numPr>
        <w:suppressAutoHyphens w:val="true"/>
        <w:bidi w:val="0"/>
        <w:spacing w:lineRule="auto" w:line="276" w:before="0" w:after="0"/>
        <w:ind w:left="3624" w:right="0" w:hanging="504"/>
        <w:contextualSpacing/>
        <w:rPr>
          <w:rFonts w:ascii="Times New Roman" w:hAnsi="Times New Roman" w:eastAsia="Arial" w:cs="Arial"/>
          <w:b w:val="false"/>
          <w:b w:val="false"/>
          <w:bCs w:val="false"/>
          <w:iCs/>
          <w:kern w:val="0"/>
          <w:sz w:val="22"/>
          <w:szCs w:val="22"/>
          <w:lang w:val="pt-BR" w:bidi="ar-SA"/>
        </w:rPr>
      </w:pPr>
      <w:r>
        <w:rPr>
          <w:rFonts w:eastAsia="Arial" w:cs="Arial"/>
          <w:b w:val="false"/>
          <w:bCs w:val="false"/>
          <w:iCs/>
          <w:kern w:val="0"/>
          <w:sz w:val="22"/>
          <w:szCs w:val="22"/>
          <w:lang w:val="pt-BR" w:bidi="ar-SA"/>
        </w:rPr>
        <w:t>A permissão ou restrição do uso de materiais reciclados para materiais destinados ao contato com alimentos está definida nos regulamentos específicos, conforme o tipo de material. Para os materiais celulósico (RDC n° 88/2016), metálico (RDC nº 20/2007) e vidro e cerâmica (Portaria n° 27/1996) é permitido o uso de material reciclado. No caso de plástico (RDC n° 20 /2008) é permitido apenas PET-PCR grau alimentício.</w:t>
      </w:r>
    </w:p>
    <w:p>
      <w:pPr>
        <w:pStyle w:val="Nivel01"/>
        <w:widowControl/>
        <w:numPr>
          <w:ilvl w:val="2"/>
          <w:numId w:val="1"/>
        </w:numPr>
        <w:suppressAutoHyphens w:val="true"/>
        <w:bidi w:val="0"/>
        <w:spacing w:lineRule="auto" w:line="276" w:before="0" w:after="0"/>
        <w:ind w:left="3624" w:right="0" w:hanging="504"/>
        <w:contextualSpacing/>
        <w:rPr>
          <w:rFonts w:ascii="Times New Roman" w:hAnsi="Times New Roman" w:eastAsia="Arial" w:cs="Arial"/>
          <w:b w:val="false"/>
          <w:b w:val="false"/>
          <w:bCs w:val="false"/>
          <w:iCs/>
          <w:kern w:val="0"/>
          <w:sz w:val="22"/>
          <w:szCs w:val="22"/>
          <w:lang w:val="pt-BR" w:bidi="ar-SA"/>
        </w:rPr>
      </w:pPr>
      <w:r>
        <w:rPr>
          <w:rFonts w:eastAsia="Arial" w:cs="Arial"/>
          <w:b w:val="false"/>
          <w:bCs w:val="false"/>
          <w:iCs/>
          <w:kern w:val="0"/>
          <w:sz w:val="22"/>
          <w:szCs w:val="22"/>
          <w:lang w:val="pt-BR" w:bidi="ar-SA"/>
        </w:rPr>
        <w:t>Não é permitido o uso de material reciclado para elastoméricos em contato com alimentos (Resolução n°123/2001). Se a embalagem for PET pós-consumo reciclado (PET PCR), além das especificações, a contratada deverá ter o registro ou autorização do PET PCR pela Anvisa.</w:t>
      </w:r>
    </w:p>
    <w:p>
      <w:pPr>
        <w:pStyle w:val="Nivel01"/>
        <w:widowControl/>
        <w:numPr>
          <w:ilvl w:val="2"/>
          <w:numId w:val="1"/>
        </w:numPr>
        <w:suppressAutoHyphens w:val="true"/>
        <w:bidi w:val="0"/>
        <w:spacing w:lineRule="auto" w:line="276" w:before="0" w:after="0"/>
        <w:ind w:left="3624" w:right="0" w:hanging="504"/>
        <w:contextualSpacing/>
        <w:rPr>
          <w:rFonts w:ascii="Times New Roman" w:hAnsi="Times New Roman" w:eastAsia="Arial" w:cs="Arial"/>
          <w:b w:val="false"/>
          <w:b w:val="false"/>
          <w:bCs w:val="false"/>
          <w:iCs/>
          <w:kern w:val="0"/>
          <w:sz w:val="22"/>
          <w:szCs w:val="22"/>
          <w:lang w:val="pt-BR" w:bidi="ar-SA"/>
        </w:rPr>
      </w:pPr>
      <w:r>
        <w:rPr>
          <w:rFonts w:eastAsia="Arial" w:cs="Arial"/>
          <w:b w:val="false"/>
          <w:bCs w:val="false"/>
          <w:iCs/>
          <w:kern w:val="0"/>
          <w:sz w:val="22"/>
          <w:szCs w:val="22"/>
          <w:lang w:val="pt-BR" w:bidi="ar-SA"/>
        </w:rPr>
        <w:t>Além dos critérios de sustentabilidade eventualmente inseridos na descrição do objeto, devem ser atendidos os seguintes requisitos, que se baseiam no Guia Nacional de Contratações Sustentáveis:</w:t>
      </w:r>
    </w:p>
    <w:p>
      <w:pPr>
        <w:pStyle w:val="Nivel01"/>
        <w:widowControl/>
        <w:numPr>
          <w:ilvl w:val="3"/>
          <w:numId w:val="1"/>
        </w:numPr>
        <w:suppressAutoHyphens w:val="true"/>
        <w:bidi w:val="0"/>
        <w:spacing w:lineRule="auto" w:line="276" w:before="0" w:after="0"/>
        <w:ind w:left="3626" w:right="0" w:hanging="648"/>
        <w:contextualSpacing/>
        <w:rPr>
          <w:rFonts w:ascii="Times New Roman" w:hAnsi="Times New Roman" w:eastAsia="Arial" w:cs="Arial"/>
          <w:b w:val="false"/>
          <w:b w:val="false"/>
          <w:bCs w:val="false"/>
          <w:iCs/>
          <w:kern w:val="0"/>
          <w:sz w:val="22"/>
          <w:szCs w:val="22"/>
          <w:lang w:val="pt-BR" w:bidi="ar-SA"/>
        </w:rPr>
      </w:pPr>
      <w:r>
        <w:rPr>
          <w:rFonts w:eastAsia="Arial" w:cs="Arial"/>
          <w:b w:val="false"/>
          <w:bCs w:val="false"/>
          <w:iCs/>
          <w:kern w:val="0"/>
          <w:sz w:val="22"/>
          <w:szCs w:val="22"/>
          <w:lang w:val="pt-BR" w:bidi="ar-SA"/>
        </w:rPr>
        <w:t>A Contratada deverá sempre que possível apresentar os conteúdos e resultados produzidos (relatórios, apresentações, etc.) de forma eletrônica, e assim evitar a impressão de documentos, atendendo ao Decreto nº8.539 de 08/10/2015 que dispõe sobre o uso do meio eletrônico para a realização do processo administrativo no âmbito dos órgãos e das entidades da administração pública federal direta, autárquica e fundacional.</w:t>
      </w:r>
    </w:p>
    <w:p>
      <w:pPr>
        <w:pStyle w:val="Nivel01"/>
        <w:widowControl/>
        <w:numPr>
          <w:ilvl w:val="3"/>
          <w:numId w:val="1"/>
        </w:numPr>
        <w:suppressAutoHyphens w:val="true"/>
        <w:bidi w:val="0"/>
        <w:spacing w:lineRule="auto" w:line="276" w:before="0" w:after="0"/>
        <w:ind w:left="3626" w:right="0" w:hanging="648"/>
        <w:contextualSpacing/>
        <w:rPr>
          <w:rFonts w:ascii="Times New Roman" w:hAnsi="Times New Roman" w:eastAsia="Arial" w:cs="Arial"/>
          <w:b w:val="false"/>
          <w:b w:val="false"/>
          <w:bCs w:val="false"/>
          <w:iCs/>
          <w:kern w:val="0"/>
          <w:sz w:val="22"/>
          <w:szCs w:val="22"/>
          <w:lang w:val="pt-BR" w:bidi="ar-SA"/>
        </w:rPr>
      </w:pPr>
      <w:r>
        <w:rPr>
          <w:rFonts w:eastAsia="Arial" w:cs="Arial"/>
          <w:b w:val="false"/>
          <w:bCs w:val="false"/>
          <w:iCs/>
          <w:kern w:val="0"/>
          <w:sz w:val="22"/>
          <w:szCs w:val="22"/>
          <w:lang w:val="pt-BR" w:bidi="ar-SA"/>
        </w:rPr>
        <w:t>o impacto ambiental da execução das atividades, o planejamento e metodologia das auditorias/atividades e preparação das programações, a Contratada deverá aplicar as melhores técnicas e fazer o uso racional dos recursos, já que estes têm impacto direto em consumo de energia, além de eventualmente na produção de lixo.</w:t>
      </w:r>
    </w:p>
    <w:p>
      <w:pPr>
        <w:pStyle w:val="Nivel01"/>
        <w:widowControl/>
        <w:numPr>
          <w:ilvl w:val="2"/>
          <w:numId w:val="1"/>
        </w:numPr>
        <w:suppressAutoHyphens w:val="true"/>
        <w:bidi w:val="0"/>
        <w:spacing w:lineRule="auto" w:line="276" w:before="0" w:after="0"/>
        <w:ind w:left="3624" w:right="0" w:hanging="504"/>
        <w:contextualSpacing/>
        <w:rPr>
          <w:rFonts w:ascii="Times New Roman" w:hAnsi="Times New Roman" w:eastAsia="Arial" w:cs="Arial"/>
          <w:b w:val="false"/>
          <w:b w:val="false"/>
          <w:bCs w:val="false"/>
          <w:iCs/>
          <w:kern w:val="0"/>
          <w:sz w:val="22"/>
          <w:szCs w:val="22"/>
          <w:lang w:val="pt-BR" w:bidi="ar-SA"/>
        </w:rPr>
      </w:pPr>
      <w:r>
        <w:rPr>
          <w:rFonts w:eastAsia="Arial" w:cs="Arial"/>
          <w:b w:val="false"/>
          <w:bCs w:val="false"/>
          <w:iCs/>
          <w:kern w:val="0"/>
          <w:sz w:val="22"/>
          <w:szCs w:val="22"/>
          <w:lang w:val="pt-BR" w:bidi="ar-SA"/>
        </w:rPr>
        <w:t>A fim de reduzir o impacto ambiental, deverão ser adotadas as seguintes práticas de sustentabilidade, através da otimização de recursos, redução de desperdícios e menor poluição, tais como:</w:t>
      </w:r>
    </w:p>
    <w:p>
      <w:pPr>
        <w:pStyle w:val="Nivel01"/>
        <w:widowControl/>
        <w:numPr>
          <w:ilvl w:val="3"/>
          <w:numId w:val="1"/>
        </w:numPr>
        <w:suppressAutoHyphens w:val="true"/>
        <w:bidi w:val="0"/>
        <w:spacing w:lineRule="auto" w:line="276" w:before="0" w:after="0"/>
        <w:ind w:left="3626" w:right="0" w:hanging="648"/>
        <w:contextualSpacing/>
        <w:rPr>
          <w:rFonts w:ascii="Times New Roman" w:hAnsi="Times New Roman" w:eastAsia="Arial" w:cs="Arial"/>
          <w:b w:val="false"/>
          <w:b w:val="false"/>
          <w:bCs w:val="false"/>
          <w:iCs/>
          <w:kern w:val="0"/>
          <w:sz w:val="22"/>
          <w:szCs w:val="22"/>
          <w:lang w:val="pt-BR" w:bidi="ar-SA"/>
        </w:rPr>
      </w:pPr>
      <w:r>
        <w:rPr>
          <w:rFonts w:eastAsia="Arial" w:cs="Arial"/>
          <w:b w:val="false"/>
          <w:bCs w:val="false"/>
          <w:iCs/>
          <w:kern w:val="0"/>
          <w:sz w:val="22"/>
          <w:szCs w:val="22"/>
          <w:lang w:val="pt-BR" w:bidi="ar-SA"/>
        </w:rPr>
        <w:t>Racionalização do uso de substâncias potencialmente tóxicas poluentes;</w:t>
      </w:r>
    </w:p>
    <w:p>
      <w:pPr>
        <w:pStyle w:val="Nivel01"/>
        <w:widowControl/>
        <w:numPr>
          <w:ilvl w:val="3"/>
          <w:numId w:val="1"/>
        </w:numPr>
        <w:suppressAutoHyphens w:val="true"/>
        <w:bidi w:val="0"/>
        <w:spacing w:lineRule="auto" w:line="276" w:before="0" w:after="0"/>
        <w:ind w:left="3626" w:right="0" w:hanging="648"/>
        <w:contextualSpacing/>
        <w:rPr>
          <w:rFonts w:ascii="Times New Roman" w:hAnsi="Times New Roman" w:eastAsia="Arial" w:cs="Arial"/>
          <w:b w:val="false"/>
          <w:b w:val="false"/>
          <w:bCs w:val="false"/>
          <w:iCs/>
          <w:kern w:val="0"/>
          <w:sz w:val="22"/>
          <w:szCs w:val="22"/>
          <w:lang w:val="pt-BR" w:bidi="ar-SA"/>
        </w:rPr>
      </w:pPr>
      <w:r>
        <w:rPr>
          <w:rFonts w:eastAsia="Arial" w:cs="Arial"/>
          <w:b w:val="false"/>
          <w:bCs w:val="false"/>
          <w:iCs/>
          <w:kern w:val="0"/>
          <w:sz w:val="22"/>
          <w:szCs w:val="22"/>
          <w:lang w:val="pt-BR" w:bidi="ar-SA"/>
        </w:rPr>
        <w:t xml:space="preserve">Substituição de substâncias tóxicas por outras a tóxicas ou de menor toxicidade; </w:t>
      </w:r>
    </w:p>
    <w:p>
      <w:pPr>
        <w:pStyle w:val="Nivel01"/>
        <w:widowControl/>
        <w:numPr>
          <w:ilvl w:val="3"/>
          <w:numId w:val="1"/>
        </w:numPr>
        <w:suppressAutoHyphens w:val="true"/>
        <w:bidi w:val="0"/>
        <w:spacing w:lineRule="auto" w:line="276" w:before="0" w:after="0"/>
        <w:ind w:left="3626" w:right="0" w:hanging="648"/>
        <w:contextualSpacing/>
        <w:rPr>
          <w:rFonts w:ascii="Times New Roman" w:hAnsi="Times New Roman" w:eastAsia="Arial" w:cs="Arial"/>
          <w:b w:val="false"/>
          <w:b w:val="false"/>
          <w:bCs w:val="false"/>
          <w:iCs/>
          <w:kern w:val="0"/>
          <w:sz w:val="22"/>
          <w:szCs w:val="22"/>
          <w:lang w:val="pt-BR" w:bidi="ar-SA"/>
        </w:rPr>
      </w:pPr>
      <w:r>
        <w:rPr>
          <w:rFonts w:eastAsia="Arial" w:cs="Arial"/>
          <w:b w:val="false"/>
          <w:bCs w:val="false"/>
          <w:iCs/>
          <w:kern w:val="0"/>
          <w:sz w:val="22"/>
          <w:szCs w:val="22"/>
          <w:lang w:val="pt-BR" w:bidi="ar-SA"/>
        </w:rPr>
        <w:t>Racionalização/economia no consumo de energia (especialmente elétrica) e água;</w:t>
      </w:r>
    </w:p>
    <w:p>
      <w:pPr>
        <w:pStyle w:val="Nivel01"/>
        <w:widowControl/>
        <w:numPr>
          <w:ilvl w:val="3"/>
          <w:numId w:val="1"/>
        </w:numPr>
        <w:suppressAutoHyphens w:val="true"/>
        <w:bidi w:val="0"/>
        <w:spacing w:lineRule="auto" w:line="276" w:before="0" w:after="0"/>
        <w:ind w:left="3626" w:right="0" w:hanging="648"/>
        <w:contextualSpacing/>
        <w:rPr>
          <w:rFonts w:ascii="Times New Roman" w:hAnsi="Times New Roman" w:eastAsia="Arial" w:cs="Arial"/>
          <w:b w:val="false"/>
          <w:b w:val="false"/>
          <w:bCs w:val="false"/>
          <w:iCs/>
          <w:kern w:val="0"/>
          <w:sz w:val="22"/>
          <w:szCs w:val="22"/>
          <w:lang w:val="pt-BR" w:bidi="ar-SA"/>
        </w:rPr>
      </w:pPr>
      <w:r>
        <w:rPr>
          <w:rFonts w:eastAsia="Arial" w:cs="Arial"/>
          <w:b w:val="false"/>
          <w:bCs w:val="false"/>
          <w:iCs/>
          <w:kern w:val="0"/>
          <w:sz w:val="22"/>
          <w:szCs w:val="22"/>
          <w:lang w:val="pt-BR" w:bidi="ar-SA"/>
        </w:rPr>
        <w:t>Treinamento/capacitação periódicos dos empregados sobre boas práticas de redução de desperdícios/poluição;</w:t>
      </w:r>
    </w:p>
    <w:p>
      <w:pPr>
        <w:pStyle w:val="Nivel01"/>
        <w:widowControl/>
        <w:numPr>
          <w:ilvl w:val="3"/>
          <w:numId w:val="1"/>
        </w:numPr>
        <w:suppressAutoHyphens w:val="true"/>
        <w:bidi w:val="0"/>
        <w:spacing w:lineRule="auto" w:line="276" w:before="0" w:after="0"/>
        <w:ind w:left="3626" w:right="0" w:hanging="648"/>
        <w:contextualSpacing/>
        <w:rPr>
          <w:rFonts w:ascii="Times New Roman" w:hAnsi="Times New Roman" w:eastAsia="Arial" w:cs="Arial"/>
          <w:b w:val="false"/>
          <w:b w:val="false"/>
          <w:bCs w:val="false"/>
          <w:iCs/>
          <w:kern w:val="0"/>
          <w:sz w:val="22"/>
          <w:szCs w:val="22"/>
          <w:lang w:val="pt-BR" w:bidi="ar-SA"/>
        </w:rPr>
      </w:pPr>
      <w:r>
        <w:rPr>
          <w:rFonts w:eastAsia="Arial" w:cs="Arial"/>
          <w:b w:val="false"/>
          <w:bCs w:val="false"/>
          <w:iCs/>
          <w:kern w:val="0"/>
          <w:sz w:val="22"/>
          <w:szCs w:val="22"/>
          <w:lang w:val="pt-BR" w:bidi="ar-SA"/>
        </w:rPr>
        <w:t>Reciclagem/destinação adequada dos resíduos gerados nas atividades de limpeza, asseio e conservação;</w:t>
      </w:r>
    </w:p>
    <w:p>
      <w:pPr>
        <w:pStyle w:val="Nivel01"/>
        <w:widowControl/>
        <w:numPr>
          <w:ilvl w:val="3"/>
          <w:numId w:val="1"/>
        </w:numPr>
        <w:suppressAutoHyphens w:val="true"/>
        <w:bidi w:val="0"/>
        <w:spacing w:lineRule="auto" w:line="276" w:before="0" w:after="0"/>
        <w:ind w:left="3626" w:right="0" w:hanging="648"/>
        <w:contextualSpacing/>
        <w:rPr>
          <w:rFonts w:ascii="Times New Roman" w:hAnsi="Times New Roman" w:eastAsia="Arial" w:cs="Arial"/>
          <w:b w:val="false"/>
          <w:b w:val="false"/>
          <w:bCs w:val="false"/>
          <w:iCs/>
          <w:kern w:val="0"/>
          <w:sz w:val="22"/>
          <w:szCs w:val="22"/>
          <w:lang w:val="pt-BR" w:bidi="ar-SA"/>
        </w:rPr>
      </w:pPr>
      <w:r>
        <w:rPr>
          <w:rFonts w:eastAsia="Arial" w:cs="Arial"/>
          <w:b w:val="false"/>
          <w:bCs w:val="false"/>
          <w:iCs/>
          <w:kern w:val="0"/>
          <w:sz w:val="22"/>
          <w:szCs w:val="22"/>
          <w:lang w:val="pt-BR" w:bidi="ar-SA"/>
        </w:rPr>
        <w:t>Utilização de lavagem com água de reúso ou outras fontes, sempre que possível (águas de chuva, poços cuja água seja certificada de não contaminação por metais pesados ou agentes bacteriológicos, minas e outros);</w:t>
      </w:r>
    </w:p>
    <w:p>
      <w:pPr>
        <w:pStyle w:val="Nivel01"/>
        <w:widowControl/>
        <w:numPr>
          <w:ilvl w:val="3"/>
          <w:numId w:val="1"/>
        </w:numPr>
        <w:suppressAutoHyphens w:val="true"/>
        <w:bidi w:val="0"/>
        <w:spacing w:lineRule="auto" w:line="276" w:before="0" w:after="0"/>
        <w:ind w:left="3626" w:right="0" w:hanging="648"/>
        <w:contextualSpacing/>
        <w:rPr>
          <w:rFonts w:ascii="Times New Roman" w:hAnsi="Times New Roman" w:eastAsia="Arial" w:cs="Arial"/>
          <w:b w:val="false"/>
          <w:b w:val="false"/>
          <w:bCs w:val="false"/>
          <w:iCs/>
          <w:kern w:val="0"/>
          <w:sz w:val="22"/>
          <w:szCs w:val="22"/>
          <w:lang w:val="pt-BR" w:bidi="ar-SA"/>
        </w:rPr>
      </w:pPr>
      <w:r>
        <w:rPr>
          <w:rFonts w:eastAsia="Arial" w:cs="Arial"/>
          <w:b w:val="false"/>
          <w:bCs w:val="false"/>
          <w:iCs/>
          <w:kern w:val="0"/>
          <w:sz w:val="22"/>
          <w:szCs w:val="22"/>
          <w:lang w:val="pt-BR" w:bidi="ar-SA"/>
        </w:rPr>
        <w:t>Desenvolver ou adotar manuais de procedimentos de descarte de materiais potencialmente poluidores, tais como pilhas e baterias dispostas para descarte que contenham em suas composições chumbo, cádmio, mercúrio e seus compostos, aos estabelecimentos que as comercializam ou à rede de assistência técnica autorizada pelas respectivas indústrias, para repasse aos fabricantes ou importadores;</w:t>
      </w:r>
    </w:p>
    <w:p>
      <w:pPr>
        <w:pStyle w:val="Nivel01"/>
        <w:widowControl/>
        <w:numPr>
          <w:ilvl w:val="3"/>
          <w:numId w:val="1"/>
        </w:numPr>
        <w:suppressAutoHyphens w:val="true"/>
        <w:bidi w:val="0"/>
        <w:spacing w:lineRule="auto" w:line="276" w:before="0" w:after="0"/>
        <w:ind w:left="3626" w:right="0" w:hanging="648"/>
        <w:contextualSpacing/>
        <w:rPr>
          <w:rFonts w:ascii="Times New Roman" w:hAnsi="Times New Roman" w:eastAsia="Arial" w:cs="Arial"/>
          <w:b w:val="false"/>
          <w:b w:val="false"/>
          <w:bCs w:val="false"/>
          <w:iCs/>
          <w:kern w:val="0"/>
          <w:sz w:val="22"/>
          <w:szCs w:val="22"/>
          <w:lang w:val="pt-BR" w:bidi="ar-SA"/>
        </w:rPr>
      </w:pPr>
      <w:r>
        <w:rPr>
          <w:rFonts w:eastAsia="Arial" w:cs="Arial"/>
          <w:b w:val="false"/>
          <w:bCs w:val="false"/>
          <w:iCs/>
          <w:kern w:val="0"/>
          <w:sz w:val="22"/>
          <w:szCs w:val="22"/>
          <w:lang w:val="pt-BR" w:bidi="ar-SA"/>
        </w:rPr>
        <w:t>Em atendimento ao disposto no art. 6º, da , a Instrução Normativa MPOG nº 01, de 19/01/2010 CONTRATADA deverá adotar as seguintes práticas de sustentabilidade na execução dos serviços, quando couber:</w:t>
      </w:r>
    </w:p>
    <w:p>
      <w:pPr>
        <w:pStyle w:val="Nivel01"/>
        <w:widowControl/>
        <w:numPr>
          <w:ilvl w:val="4"/>
          <w:numId w:val="1"/>
        </w:numPr>
        <w:suppressAutoHyphens w:val="true"/>
        <w:bidi w:val="0"/>
        <w:spacing w:lineRule="auto" w:line="276" w:before="0" w:after="0"/>
        <w:ind w:left="3367" w:right="0" w:hanging="792"/>
        <w:contextualSpacing/>
        <w:rPr>
          <w:rFonts w:ascii="Times New Roman" w:hAnsi="Times New Roman" w:eastAsia="Arial" w:cs="Arial"/>
          <w:b w:val="false"/>
          <w:b w:val="false"/>
          <w:bCs w:val="false"/>
          <w:iCs/>
          <w:kern w:val="0"/>
          <w:sz w:val="22"/>
          <w:szCs w:val="22"/>
          <w:lang w:val="pt-BR" w:bidi="ar-SA"/>
        </w:rPr>
      </w:pPr>
      <w:r>
        <w:rPr>
          <w:rFonts w:eastAsia="Arial" w:cs="Arial"/>
          <w:b w:val="false"/>
          <w:bCs w:val="false"/>
          <w:iCs/>
          <w:kern w:val="0"/>
          <w:sz w:val="22"/>
          <w:szCs w:val="22"/>
          <w:lang w:val="pt-BR" w:bidi="ar-SA"/>
        </w:rPr>
        <w:t>Use produtos de limpeza e conservação de superfícies e objetos inanimados que obedeçam às - classificações e especificações determinadas pela ANVISA;</w:t>
      </w:r>
    </w:p>
    <w:p>
      <w:pPr>
        <w:pStyle w:val="Nivel01"/>
        <w:widowControl/>
        <w:numPr>
          <w:ilvl w:val="4"/>
          <w:numId w:val="1"/>
        </w:numPr>
        <w:suppressAutoHyphens w:val="true"/>
        <w:bidi w:val="0"/>
        <w:spacing w:lineRule="auto" w:line="276" w:before="0" w:after="0"/>
        <w:ind w:left="3367" w:right="0" w:hanging="792"/>
        <w:contextualSpacing/>
        <w:rPr>
          <w:rFonts w:ascii="Times New Roman" w:hAnsi="Times New Roman" w:eastAsia="Arial" w:cs="Arial"/>
          <w:b w:val="false"/>
          <w:b w:val="false"/>
          <w:bCs w:val="false"/>
          <w:iCs/>
          <w:kern w:val="0"/>
          <w:sz w:val="22"/>
          <w:szCs w:val="22"/>
          <w:lang w:val="pt-BR" w:bidi="ar-SA"/>
        </w:rPr>
      </w:pPr>
      <w:r>
        <w:rPr>
          <w:rFonts w:eastAsia="Arial" w:cs="Arial"/>
          <w:b w:val="false"/>
          <w:bCs w:val="false"/>
          <w:iCs/>
          <w:kern w:val="0"/>
          <w:sz w:val="22"/>
          <w:szCs w:val="22"/>
          <w:lang w:val="pt-BR" w:bidi="ar-SA"/>
        </w:rPr>
        <w:t>Observe os limites máximos de emissão de poluentes admitidos na Resolução CONAMA nº 382 e promover periodicamente a de 26/12/2006 Resolução CONAMA nº 436, de 22/12/2011 formação e capacitação dos recursos humanos envolvidos na cadeia de atividades, sobre os processos de logística reversa com destinação ambiental adequada de seus produtos.</w:t>
      </w:r>
    </w:p>
    <w:p>
      <w:pPr>
        <w:pStyle w:val="Nivel01"/>
        <w:widowControl/>
        <w:numPr>
          <w:ilvl w:val="4"/>
          <w:numId w:val="1"/>
        </w:numPr>
        <w:suppressAutoHyphens w:val="true"/>
        <w:bidi w:val="0"/>
        <w:spacing w:lineRule="auto" w:line="276" w:before="0" w:after="0"/>
        <w:ind w:left="3367" w:right="0" w:hanging="792"/>
        <w:contextualSpacing/>
        <w:rPr>
          <w:rFonts w:ascii="Times New Roman" w:hAnsi="Times New Roman" w:eastAsia="Arial" w:cs="Arial"/>
          <w:b w:val="false"/>
          <w:b w:val="false"/>
          <w:bCs w:val="false"/>
          <w:iCs/>
          <w:kern w:val="0"/>
          <w:sz w:val="22"/>
          <w:szCs w:val="22"/>
          <w:lang w:val="pt-BR" w:bidi="ar-SA"/>
        </w:rPr>
      </w:pPr>
      <w:r>
        <w:rPr>
          <w:rFonts w:eastAsia="Arial" w:cs="Arial"/>
          <w:b w:val="false"/>
          <w:bCs w:val="false"/>
          <w:iCs/>
          <w:kern w:val="0"/>
          <w:sz w:val="22"/>
          <w:szCs w:val="22"/>
          <w:lang w:val="pt-BR" w:bidi="ar-SA"/>
        </w:rPr>
        <w:t>Forneça aos empregados os equipamentos de segurança que se fizerem necessários, para a execução de serviços;</w:t>
      </w:r>
    </w:p>
    <w:p>
      <w:pPr>
        <w:pStyle w:val="Nivel01"/>
        <w:widowControl/>
        <w:numPr>
          <w:ilvl w:val="4"/>
          <w:numId w:val="1"/>
        </w:numPr>
        <w:suppressAutoHyphens w:val="true"/>
        <w:bidi w:val="0"/>
        <w:spacing w:lineRule="auto" w:line="276" w:before="0" w:after="0"/>
        <w:ind w:left="3367" w:right="0" w:hanging="792"/>
        <w:contextualSpacing/>
        <w:rPr>
          <w:rFonts w:ascii="Times New Roman" w:hAnsi="Times New Roman" w:eastAsia="Arial" w:cs="Arial"/>
          <w:b w:val="false"/>
          <w:b w:val="false"/>
          <w:bCs w:val="false"/>
          <w:iCs/>
          <w:kern w:val="0"/>
          <w:sz w:val="22"/>
          <w:szCs w:val="22"/>
          <w:lang w:val="pt-BR" w:bidi="ar-SA"/>
        </w:rPr>
      </w:pPr>
      <w:r>
        <w:rPr>
          <w:rFonts w:eastAsia="Arial" w:cs="Arial"/>
          <w:b w:val="false"/>
          <w:bCs w:val="false"/>
          <w:iCs/>
          <w:kern w:val="0"/>
          <w:sz w:val="22"/>
          <w:szCs w:val="22"/>
          <w:lang w:val="pt-BR" w:bidi="ar-SA"/>
        </w:rPr>
        <w:t>Respeite as Normas Brasileiras - NBR publicadas pela Associação Brasileira de Normas Técnicas sobre resíduos sólidos.</w:t>
      </w:r>
    </w:p>
    <w:p>
      <w:pPr>
        <w:pStyle w:val="Nivel01"/>
        <w:widowControl/>
        <w:numPr>
          <w:ilvl w:val="2"/>
          <w:numId w:val="1"/>
        </w:numPr>
        <w:suppressAutoHyphens w:val="true"/>
        <w:bidi w:val="0"/>
        <w:spacing w:lineRule="auto" w:line="276" w:before="0" w:after="0"/>
        <w:ind w:left="3624" w:right="0" w:hanging="504"/>
        <w:contextualSpacing/>
        <w:rPr>
          <w:rFonts w:ascii="Times New Roman" w:hAnsi="Times New Roman" w:eastAsia="Arial" w:cs="Arial"/>
          <w:b w:val="false"/>
          <w:b w:val="false"/>
          <w:bCs w:val="false"/>
          <w:iCs/>
          <w:kern w:val="0"/>
          <w:sz w:val="22"/>
          <w:szCs w:val="22"/>
          <w:lang w:val="pt-BR" w:bidi="ar-SA"/>
        </w:rPr>
      </w:pPr>
      <w:r>
        <w:rPr>
          <w:rFonts w:eastAsia="Arial" w:cs="Arial"/>
          <w:b w:val="false"/>
          <w:bCs w:val="false"/>
          <w:iCs/>
          <w:kern w:val="0"/>
          <w:sz w:val="22"/>
          <w:szCs w:val="22"/>
          <w:lang w:val="pt-BR" w:bidi="ar-SA"/>
        </w:rPr>
        <w:t>As tintas adquiridas deverão possuir baixo teor de Compostos Orgânicos Voláteis (VOCs), garantindo menor impacto ambiental e segurança na aplicação. Os resíduos de pintura devem ser descartados conforme as normas ambientais vigentes.</w:t>
      </w:r>
    </w:p>
    <w:p>
      <w:pPr>
        <w:pStyle w:val="Nivel01"/>
        <w:widowControl/>
        <w:numPr>
          <w:ilvl w:val="0"/>
          <w:numId w:val="0"/>
        </w:numPr>
        <w:bidi w:val="0"/>
        <w:spacing w:lineRule="auto" w:line="276" w:before="0" w:after="0"/>
        <w:ind w:left="1608" w:right="0" w:hanging="0"/>
        <w:contextualSpacing/>
        <w:jc w:val="left"/>
        <w:rPr>
          <w:rFonts w:ascii="Times New Roman" w:hAnsi="Times New Roman"/>
          <w:b w:val="false"/>
          <w:b w:val="false"/>
          <w:bCs w:val="false"/>
          <w:sz w:val="22"/>
          <w:szCs w:val="22"/>
        </w:rPr>
      </w:pPr>
      <w:r>
        <w:rPr/>
        <w:commentReference w:id="3"/>
      </w:r>
    </w:p>
    <w:p>
      <w:pPr>
        <w:pStyle w:val="Nivel01"/>
        <w:widowControl/>
        <w:numPr>
          <w:ilvl w:val="0"/>
          <w:numId w:val="0"/>
        </w:numPr>
        <w:suppressAutoHyphens w:val="true"/>
        <w:bidi w:val="0"/>
        <w:spacing w:lineRule="auto" w:line="276" w:before="0" w:after="0"/>
        <w:ind w:left="1709" w:right="0" w:hanging="0"/>
        <w:contextualSpacing/>
        <w:jc w:val="left"/>
        <w:rPr>
          <w:rFonts w:ascii="Times New Roman" w:hAnsi="Times New Roman" w:eastAsia="Arial" w:cs="Arial"/>
          <w:iCs/>
          <w:color w:val="auto"/>
          <w:kern w:val="0"/>
          <w:sz w:val="22"/>
          <w:szCs w:val="22"/>
          <w:lang w:val="pt-BR" w:eastAsia="pt-BR" w:bidi="ar-SA"/>
        </w:rPr>
      </w:pPr>
      <w:r>
        <w:rPr>
          <w:rFonts w:eastAsia="Arial" w:cs="Arial"/>
          <w:iCs/>
          <w:color w:val="auto"/>
          <w:kern w:val="0"/>
          <w:sz w:val="22"/>
          <w:szCs w:val="22"/>
          <w:lang w:val="pt-BR" w:eastAsia="pt-BR" w:bidi="ar-SA"/>
        </w:rPr>
      </w:r>
    </w:p>
    <w:p>
      <w:pPr>
        <w:pStyle w:val="Nvel2Opcional1"/>
        <w:widowControl/>
        <w:numPr>
          <w:ilvl w:val="0"/>
          <w:numId w:val="0"/>
        </w:numPr>
        <w:suppressAutoHyphens w:val="true"/>
        <w:bidi w:val="0"/>
        <w:spacing w:lineRule="auto" w:line="276" w:before="0" w:after="0"/>
        <w:ind w:left="1709" w:right="0" w:hanging="0"/>
        <w:contextualSpacing/>
        <w:jc w:val="left"/>
        <w:outlineLvl w:val="0"/>
        <w:rPr>
          <w:rFonts w:ascii="Arial" w:hAnsi="Arial"/>
          <w:b/>
          <w:b/>
          <w:bCs/>
          <w:i w:val="false"/>
          <w:i w:val="false"/>
          <w:iCs w:val="false"/>
          <w:color w:val="000000"/>
          <w:sz w:val="20"/>
          <w:szCs w:val="20"/>
        </w:rPr>
      </w:pPr>
      <w:r>
        <w:rPr>
          <w:rFonts w:eastAsia="Arial" w:cs="Arial" w:ascii="Times New Roman" w:hAnsi="Times New Roman"/>
          <w:b/>
          <w:bCs/>
          <w:i w:val="false"/>
          <w:iCs w:val="false"/>
          <w:color w:val="auto"/>
          <w:kern w:val="0"/>
          <w:sz w:val="22"/>
          <w:szCs w:val="22"/>
          <w:lang w:val="pt-BR" w:eastAsia="pt-BR" w:bidi="ar-SA"/>
        </w:rPr>
        <w:t>Indicação de Marcas</w:t>
      </w:r>
    </w:p>
    <w:p>
      <w:pPr>
        <w:pStyle w:val="Nvel2Opcional1"/>
        <w:widowControl/>
        <w:numPr>
          <w:ilvl w:val="0"/>
          <w:numId w:val="0"/>
        </w:numPr>
        <w:suppressAutoHyphens w:val="true"/>
        <w:bidi w:val="0"/>
        <w:spacing w:lineRule="auto" w:line="276" w:before="0" w:after="0"/>
        <w:ind w:left="1709" w:right="0" w:hanging="0"/>
        <w:contextualSpacing/>
        <w:jc w:val="left"/>
        <w:outlineLvl w:val="0"/>
        <w:rPr>
          <w:rFonts w:ascii="Times New Roman" w:hAnsi="Times New Roman" w:eastAsia="Arial" w:cs="Arial"/>
          <w:color w:val="auto"/>
          <w:kern w:val="0"/>
          <w:sz w:val="22"/>
          <w:szCs w:val="22"/>
          <w:lang w:val="pt-BR" w:eastAsia="pt-BR" w:bidi="ar-SA"/>
        </w:rPr>
      </w:pPr>
      <w:r>
        <w:rPr>
          <w:rFonts w:eastAsia="Arial" w:cs="Arial" w:ascii="Times New Roman" w:hAnsi="Times New Roman"/>
          <w:color w:val="auto"/>
          <w:kern w:val="0"/>
          <w:sz w:val="22"/>
          <w:szCs w:val="22"/>
          <w:lang w:val="pt-BR" w:eastAsia="pt-BR" w:bidi="ar-SA"/>
        </w:rPr>
      </w:r>
    </w:p>
    <w:p>
      <w:pPr>
        <w:pStyle w:val="Nivel01"/>
        <w:widowControl/>
        <w:numPr>
          <w:ilvl w:val="1"/>
          <w:numId w:val="1"/>
        </w:numPr>
        <w:suppressAutoHyphens w:val="true"/>
        <w:bidi w:val="0"/>
        <w:spacing w:lineRule="auto" w:line="276" w:before="0" w:after="0"/>
        <w:ind w:left="1709" w:right="0" w:hanging="432"/>
        <w:contextualSpacing/>
        <w:rPr/>
      </w:pPr>
      <w:r>
        <w:rPr>
          <w:b w:val="false"/>
          <w:bCs w:val="false"/>
          <w:sz w:val="22"/>
          <w:szCs w:val="22"/>
        </w:rPr>
        <w:t>N</w:t>
      </w:r>
      <w:r>
        <w:rPr>
          <w:b w:val="false"/>
          <w:bCs w:val="false"/>
          <w:kern w:val="0"/>
          <w:sz w:val="22"/>
          <w:szCs w:val="22"/>
          <w:lang w:val="pt-BR" w:eastAsia="pt-BR" w:bidi="ar-SA"/>
        </w:rPr>
        <w:t>a presente contratação será admitida a indicação das seguintes marcas e classes de tintas, conforme justificativas constantes nos Estudos Técnicos Preliminares:</w:t>
      </w:r>
    </w:p>
    <w:p>
      <w:pPr>
        <w:pStyle w:val="Normal"/>
        <w:widowControl/>
        <w:numPr>
          <w:ilvl w:val="0"/>
          <w:numId w:val="0"/>
        </w:numPr>
        <w:suppressAutoHyphens w:val="true"/>
        <w:bidi w:val="0"/>
        <w:spacing w:lineRule="auto" w:line="276" w:before="0" w:after="0"/>
        <w:ind w:left="0" w:hanging="0"/>
        <w:contextualSpacing/>
        <w:outlineLvl w:val="0"/>
        <w:rPr>
          <w:rFonts w:ascii="Times New Roman" w:hAnsi="Times New Roman"/>
          <w:b w:val="false"/>
          <w:b w:val="false"/>
          <w:bCs w:val="false"/>
          <w:kern w:val="0"/>
          <w:sz w:val="22"/>
          <w:szCs w:val="22"/>
          <w:lang w:val="pt-BR" w:eastAsia="pt-BR" w:bidi="ar-SA"/>
        </w:rPr>
      </w:pPr>
      <w:r>
        <w:rPr>
          <w:rFonts w:ascii="Times New Roman" w:hAnsi="Times New Roman"/>
          <w:b w:val="false"/>
          <w:bCs w:val="false"/>
          <w:kern w:val="0"/>
          <w:sz w:val="22"/>
          <w:szCs w:val="22"/>
          <w:lang w:val="pt-BR" w:eastAsia="pt-BR" w:bidi="ar-SA"/>
        </w:rPr>
      </w:r>
    </w:p>
    <w:p>
      <w:pPr>
        <w:pStyle w:val="Normal"/>
        <w:widowControl/>
        <w:numPr>
          <w:ilvl w:val="0"/>
          <w:numId w:val="0"/>
        </w:numPr>
        <w:suppressAutoHyphens w:val="true"/>
        <w:bidi w:val="0"/>
        <w:spacing w:lineRule="auto" w:line="276" w:before="0" w:after="0"/>
        <w:ind w:left="0" w:hanging="0"/>
        <w:contextualSpacing/>
        <w:outlineLvl w:val="0"/>
        <w:rPr>
          <w:rFonts w:ascii="Times New Roman" w:hAnsi="Times New Roman"/>
          <w:b w:val="false"/>
          <w:b w:val="false"/>
          <w:bCs w:val="false"/>
          <w:kern w:val="0"/>
          <w:sz w:val="22"/>
          <w:szCs w:val="22"/>
          <w:lang w:val="pt-BR" w:eastAsia="pt-BR" w:bidi="ar-SA"/>
        </w:rPr>
      </w:pPr>
      <w:r>
        <w:rPr>
          <w:rFonts w:ascii="Times New Roman" w:hAnsi="Times New Roman"/>
          <w:b w:val="false"/>
          <w:bCs w:val="false"/>
          <w:kern w:val="0"/>
          <w:sz w:val="22"/>
          <w:szCs w:val="22"/>
          <w:lang w:val="pt-BR" w:eastAsia="pt-BR" w:bidi="ar-SA"/>
        </w:rPr>
      </w:r>
    </w:p>
    <w:p>
      <w:pPr>
        <w:pStyle w:val="Nivel01"/>
        <w:widowControl/>
        <w:numPr>
          <w:ilvl w:val="2"/>
          <w:numId w:val="1"/>
        </w:numPr>
        <w:suppressAutoHyphens w:val="true"/>
        <w:bidi w:val="0"/>
        <w:spacing w:lineRule="auto" w:line="276" w:before="0" w:after="0"/>
        <w:ind w:left="3624" w:right="0" w:hanging="504"/>
        <w:contextualSpacing/>
        <w:rPr>
          <w:rFonts w:ascii="Times New Roman" w:hAnsi="Times New Roman"/>
          <w:b w:val="false"/>
          <w:b w:val="false"/>
          <w:bCs w:val="false"/>
          <w:kern w:val="0"/>
          <w:sz w:val="22"/>
          <w:szCs w:val="22"/>
          <w:lang w:val="pt-BR" w:eastAsia="pt-BR" w:bidi="ar-SA"/>
        </w:rPr>
      </w:pPr>
      <w:r>
        <w:rPr>
          <w:b w:val="false"/>
          <w:bCs w:val="false"/>
          <w:kern w:val="0"/>
          <w:sz w:val="22"/>
          <w:szCs w:val="22"/>
          <w:lang w:val="pt-BR" w:eastAsia="pt-BR" w:bidi="ar-SA"/>
        </w:rPr>
        <w:t>Tintas acrílicas premium (branco neve, branco, cinza médio, concreto médio, cinza, preta, marfim, azul):</w:t>
      </w:r>
    </w:p>
    <w:p>
      <w:pPr>
        <w:pStyle w:val="Nivel01"/>
        <w:widowControl/>
        <w:numPr>
          <w:ilvl w:val="3"/>
          <w:numId w:val="1"/>
        </w:numPr>
        <w:suppressAutoHyphens w:val="true"/>
        <w:bidi w:val="0"/>
        <w:spacing w:lineRule="auto" w:line="276" w:before="0" w:after="0"/>
        <w:ind w:left="3626" w:right="0" w:hanging="648"/>
        <w:contextualSpacing/>
        <w:rPr>
          <w:rFonts w:ascii="Times New Roman" w:hAnsi="Times New Roman"/>
          <w:b w:val="false"/>
          <w:b w:val="false"/>
          <w:bCs w:val="false"/>
          <w:kern w:val="0"/>
          <w:sz w:val="22"/>
          <w:szCs w:val="22"/>
          <w:lang w:val="pt-BR" w:eastAsia="pt-BR" w:bidi="ar-SA"/>
        </w:rPr>
      </w:pPr>
      <w:r>
        <w:rPr>
          <w:b w:val="false"/>
          <w:bCs w:val="false"/>
          <w:kern w:val="0"/>
          <w:sz w:val="22"/>
          <w:szCs w:val="22"/>
          <w:lang w:val="pt-BR" w:eastAsia="pt-BR" w:bidi="ar-SA"/>
        </w:rPr>
        <w:t>Suvinil (Linha Premium);</w:t>
      </w:r>
    </w:p>
    <w:p>
      <w:pPr>
        <w:pStyle w:val="Nivel01"/>
        <w:widowControl/>
        <w:numPr>
          <w:ilvl w:val="3"/>
          <w:numId w:val="1"/>
        </w:numPr>
        <w:suppressAutoHyphens w:val="true"/>
        <w:bidi w:val="0"/>
        <w:spacing w:lineRule="auto" w:line="276" w:before="0" w:after="0"/>
        <w:ind w:left="3626" w:right="0" w:hanging="648"/>
        <w:contextualSpacing/>
        <w:rPr>
          <w:rFonts w:ascii="Times New Roman" w:hAnsi="Times New Roman"/>
          <w:b w:val="false"/>
          <w:b w:val="false"/>
          <w:bCs w:val="false"/>
          <w:kern w:val="0"/>
          <w:sz w:val="22"/>
          <w:szCs w:val="22"/>
          <w:lang w:val="pt-BR" w:eastAsia="pt-BR" w:bidi="ar-SA"/>
        </w:rPr>
      </w:pPr>
      <w:r>
        <w:rPr>
          <w:b w:val="false"/>
          <w:bCs w:val="false"/>
          <w:kern w:val="0"/>
          <w:sz w:val="22"/>
          <w:szCs w:val="22"/>
          <w:lang w:val="pt-BR" w:eastAsia="pt-BR" w:bidi="ar-SA"/>
        </w:rPr>
        <w:t>Coral (Linha Expert ou Professional);</w:t>
      </w:r>
    </w:p>
    <w:p>
      <w:pPr>
        <w:pStyle w:val="Nivel01"/>
        <w:widowControl/>
        <w:numPr>
          <w:ilvl w:val="3"/>
          <w:numId w:val="1"/>
        </w:numPr>
        <w:suppressAutoHyphens w:val="true"/>
        <w:bidi w:val="0"/>
        <w:spacing w:lineRule="auto" w:line="276" w:before="0" w:after="0"/>
        <w:ind w:left="3626" w:right="0" w:hanging="648"/>
        <w:contextualSpacing/>
        <w:rPr>
          <w:rFonts w:ascii="Times New Roman" w:hAnsi="Times New Roman"/>
          <w:b w:val="false"/>
          <w:b w:val="false"/>
          <w:bCs w:val="false"/>
          <w:kern w:val="0"/>
          <w:sz w:val="22"/>
          <w:szCs w:val="22"/>
          <w:lang w:val="pt-BR" w:eastAsia="pt-BR" w:bidi="ar-SA"/>
        </w:rPr>
      </w:pPr>
      <w:r>
        <w:rPr>
          <w:b w:val="false"/>
          <w:bCs w:val="false"/>
          <w:kern w:val="0"/>
          <w:sz w:val="22"/>
          <w:szCs w:val="22"/>
          <w:lang w:val="pt-BR" w:eastAsia="pt-BR" w:bidi="ar-SA"/>
        </w:rPr>
        <w:t>Sherwin-Williams (Linha SuperPaint ou Resilience); ou</w:t>
      </w:r>
    </w:p>
    <w:p>
      <w:pPr>
        <w:pStyle w:val="Nivel01"/>
        <w:widowControl/>
        <w:numPr>
          <w:ilvl w:val="3"/>
          <w:numId w:val="1"/>
        </w:numPr>
        <w:suppressAutoHyphens w:val="true"/>
        <w:bidi w:val="0"/>
        <w:spacing w:lineRule="auto" w:line="276" w:before="0" w:after="0"/>
        <w:ind w:left="3626" w:right="0" w:hanging="648"/>
        <w:contextualSpacing/>
        <w:rPr>
          <w:rFonts w:ascii="Times New Roman" w:hAnsi="Times New Roman"/>
          <w:b w:val="false"/>
          <w:b w:val="false"/>
          <w:bCs w:val="false"/>
          <w:kern w:val="0"/>
          <w:sz w:val="22"/>
          <w:szCs w:val="22"/>
          <w:lang w:val="pt-BR" w:eastAsia="pt-BR" w:bidi="ar-SA"/>
        </w:rPr>
      </w:pPr>
      <w:r>
        <w:rPr>
          <w:b w:val="false"/>
          <w:bCs w:val="false"/>
          <w:kern w:val="0"/>
          <w:sz w:val="22"/>
          <w:szCs w:val="22"/>
          <w:lang w:val="pt-BR" w:eastAsia="pt-BR" w:bidi="ar-SA"/>
        </w:rPr>
        <w:t>similar premium de desempenho equivalente.</w:t>
      </w:r>
    </w:p>
    <w:p>
      <w:pPr>
        <w:pStyle w:val="Normal"/>
        <w:widowControl/>
        <w:numPr>
          <w:ilvl w:val="0"/>
          <w:numId w:val="0"/>
        </w:numPr>
        <w:suppressAutoHyphens w:val="true"/>
        <w:bidi w:val="0"/>
        <w:spacing w:lineRule="auto" w:line="276" w:before="0" w:after="0"/>
        <w:ind w:left="0" w:hanging="0"/>
        <w:contextualSpacing/>
        <w:outlineLvl w:val="0"/>
        <w:rPr>
          <w:rFonts w:ascii="Times New Roman" w:hAnsi="Times New Roman"/>
          <w:b w:val="false"/>
          <w:b w:val="false"/>
          <w:bCs w:val="false"/>
          <w:kern w:val="0"/>
          <w:sz w:val="22"/>
          <w:szCs w:val="22"/>
          <w:lang w:val="pt-BR" w:eastAsia="pt-BR" w:bidi="ar-SA"/>
        </w:rPr>
      </w:pPr>
      <w:r>
        <w:rPr>
          <w:rFonts w:ascii="Times New Roman" w:hAnsi="Times New Roman"/>
          <w:b w:val="false"/>
          <w:bCs w:val="false"/>
          <w:kern w:val="0"/>
          <w:sz w:val="22"/>
          <w:szCs w:val="22"/>
          <w:lang w:val="pt-BR" w:eastAsia="pt-BR" w:bidi="ar-SA"/>
        </w:rPr>
      </w:r>
    </w:p>
    <w:p>
      <w:pPr>
        <w:pStyle w:val="Nivel01"/>
        <w:widowControl/>
        <w:numPr>
          <w:ilvl w:val="2"/>
          <w:numId w:val="1"/>
        </w:numPr>
        <w:suppressAutoHyphens w:val="true"/>
        <w:bidi w:val="0"/>
        <w:spacing w:lineRule="auto" w:line="276" w:before="0" w:after="0"/>
        <w:ind w:left="3624" w:right="0" w:hanging="504"/>
        <w:contextualSpacing/>
        <w:rPr>
          <w:rFonts w:ascii="Times New Roman" w:hAnsi="Times New Roman"/>
          <w:b w:val="false"/>
          <w:b w:val="false"/>
          <w:bCs w:val="false"/>
          <w:kern w:val="0"/>
          <w:sz w:val="22"/>
          <w:szCs w:val="22"/>
          <w:lang w:val="pt-BR" w:eastAsia="pt-BR" w:bidi="ar-SA"/>
        </w:rPr>
      </w:pPr>
      <w:r>
        <w:rPr>
          <w:b w:val="false"/>
          <w:bCs w:val="false"/>
          <w:kern w:val="0"/>
          <w:sz w:val="22"/>
          <w:szCs w:val="22"/>
          <w:lang w:val="pt-BR" w:eastAsia="pt-BR" w:bidi="ar-SA"/>
        </w:rPr>
        <w:t>Tintas esmalte sintético premium (branco, verde, vermelho, azul del rey, preto, marrom):</w:t>
      </w:r>
    </w:p>
    <w:p>
      <w:pPr>
        <w:pStyle w:val="Nivel01"/>
        <w:widowControl/>
        <w:numPr>
          <w:ilvl w:val="3"/>
          <w:numId w:val="1"/>
        </w:numPr>
        <w:suppressAutoHyphens w:val="true"/>
        <w:bidi w:val="0"/>
        <w:spacing w:lineRule="auto" w:line="276" w:before="0" w:after="0"/>
        <w:ind w:left="3626" w:right="0" w:hanging="648"/>
        <w:contextualSpacing/>
        <w:rPr>
          <w:rFonts w:ascii="Times New Roman" w:hAnsi="Times New Roman"/>
          <w:b w:val="false"/>
          <w:b w:val="false"/>
          <w:bCs w:val="false"/>
          <w:kern w:val="0"/>
          <w:sz w:val="22"/>
          <w:szCs w:val="22"/>
          <w:lang w:val="pt-BR" w:eastAsia="pt-BR" w:bidi="ar-SA"/>
        </w:rPr>
      </w:pPr>
      <w:r>
        <w:rPr>
          <w:b w:val="false"/>
          <w:bCs w:val="false"/>
          <w:kern w:val="0"/>
          <w:sz w:val="22"/>
          <w:szCs w:val="22"/>
          <w:lang w:val="pt-BR" w:eastAsia="pt-BR" w:bidi="ar-SA"/>
        </w:rPr>
        <w:t>Coral (Linha Marine ou Professional);</w:t>
      </w:r>
    </w:p>
    <w:p>
      <w:pPr>
        <w:pStyle w:val="Nivel01"/>
        <w:widowControl/>
        <w:numPr>
          <w:ilvl w:val="3"/>
          <w:numId w:val="1"/>
        </w:numPr>
        <w:suppressAutoHyphens w:val="true"/>
        <w:bidi w:val="0"/>
        <w:spacing w:lineRule="auto" w:line="276" w:before="0" w:after="0"/>
        <w:ind w:left="3626" w:right="0" w:hanging="648"/>
        <w:contextualSpacing/>
        <w:rPr>
          <w:rFonts w:ascii="Times New Roman" w:hAnsi="Times New Roman"/>
          <w:b w:val="false"/>
          <w:b w:val="false"/>
          <w:bCs w:val="false"/>
          <w:kern w:val="0"/>
          <w:sz w:val="22"/>
          <w:szCs w:val="22"/>
          <w:lang w:val="pt-BR" w:eastAsia="pt-BR" w:bidi="ar-SA"/>
        </w:rPr>
      </w:pPr>
      <w:r>
        <w:rPr>
          <w:b w:val="false"/>
          <w:bCs w:val="false"/>
          <w:kern w:val="0"/>
          <w:sz w:val="22"/>
          <w:szCs w:val="22"/>
          <w:lang w:val="pt-BR" w:eastAsia="pt-BR" w:bidi="ar-SA"/>
        </w:rPr>
        <w:t>Eucatex (Linha Max);</w:t>
      </w:r>
    </w:p>
    <w:p>
      <w:pPr>
        <w:pStyle w:val="Nivel01"/>
        <w:widowControl/>
        <w:numPr>
          <w:ilvl w:val="3"/>
          <w:numId w:val="1"/>
        </w:numPr>
        <w:suppressAutoHyphens w:val="true"/>
        <w:bidi w:val="0"/>
        <w:spacing w:lineRule="auto" w:line="276" w:before="0" w:after="0"/>
        <w:ind w:left="3626" w:right="0" w:hanging="648"/>
        <w:contextualSpacing/>
        <w:rPr>
          <w:rFonts w:ascii="Times New Roman" w:hAnsi="Times New Roman"/>
          <w:b w:val="false"/>
          <w:b w:val="false"/>
          <w:bCs w:val="false"/>
          <w:kern w:val="0"/>
          <w:sz w:val="22"/>
          <w:szCs w:val="22"/>
          <w:lang w:val="pt-BR" w:eastAsia="pt-BR" w:bidi="ar-SA"/>
        </w:rPr>
      </w:pPr>
      <w:r>
        <w:rPr>
          <w:b w:val="false"/>
          <w:bCs w:val="false"/>
          <w:kern w:val="0"/>
          <w:sz w:val="22"/>
          <w:szCs w:val="22"/>
          <w:lang w:val="pt-BR" w:eastAsia="pt-BR" w:bidi="ar-SA"/>
        </w:rPr>
        <w:t>Sherwin-Williams (Linha ProIndustrial); ou</w:t>
      </w:r>
    </w:p>
    <w:p>
      <w:pPr>
        <w:pStyle w:val="Nivel01"/>
        <w:widowControl/>
        <w:numPr>
          <w:ilvl w:val="3"/>
          <w:numId w:val="1"/>
        </w:numPr>
        <w:suppressAutoHyphens w:val="true"/>
        <w:bidi w:val="0"/>
        <w:spacing w:lineRule="auto" w:line="276" w:before="0" w:after="0"/>
        <w:ind w:left="3626" w:right="0" w:hanging="648"/>
        <w:contextualSpacing/>
        <w:rPr>
          <w:rFonts w:ascii="Times New Roman" w:hAnsi="Times New Roman"/>
          <w:b w:val="false"/>
          <w:b w:val="false"/>
          <w:bCs w:val="false"/>
          <w:kern w:val="0"/>
          <w:sz w:val="22"/>
          <w:szCs w:val="22"/>
          <w:lang w:val="pt-BR" w:eastAsia="pt-BR" w:bidi="ar-SA"/>
        </w:rPr>
      </w:pPr>
      <w:r>
        <w:rPr>
          <w:b w:val="false"/>
          <w:bCs w:val="false"/>
          <w:kern w:val="0"/>
          <w:sz w:val="22"/>
          <w:szCs w:val="22"/>
          <w:lang w:val="pt-BR" w:eastAsia="pt-BR" w:bidi="ar-SA"/>
        </w:rPr>
        <w:t>Similar premium com mesma resistência e durabilidade.</w:t>
      </w:r>
    </w:p>
    <w:p>
      <w:pPr>
        <w:pStyle w:val="Normal"/>
        <w:widowControl/>
        <w:numPr>
          <w:ilvl w:val="0"/>
          <w:numId w:val="0"/>
        </w:numPr>
        <w:suppressAutoHyphens w:val="true"/>
        <w:bidi w:val="0"/>
        <w:spacing w:lineRule="auto" w:line="276" w:before="0" w:after="0"/>
        <w:ind w:left="0" w:hanging="0"/>
        <w:contextualSpacing/>
        <w:outlineLvl w:val="0"/>
        <w:rPr>
          <w:rFonts w:ascii="Times New Roman" w:hAnsi="Times New Roman"/>
          <w:b w:val="false"/>
          <w:b w:val="false"/>
          <w:bCs w:val="false"/>
          <w:kern w:val="0"/>
          <w:sz w:val="22"/>
          <w:szCs w:val="22"/>
          <w:lang w:val="pt-BR" w:eastAsia="pt-BR" w:bidi="ar-SA"/>
        </w:rPr>
      </w:pPr>
      <w:r>
        <w:rPr>
          <w:rFonts w:ascii="Times New Roman" w:hAnsi="Times New Roman"/>
          <w:b w:val="false"/>
          <w:bCs w:val="false"/>
          <w:kern w:val="0"/>
          <w:sz w:val="22"/>
          <w:szCs w:val="22"/>
          <w:lang w:val="pt-BR" w:eastAsia="pt-BR" w:bidi="ar-SA"/>
        </w:rPr>
      </w:r>
    </w:p>
    <w:p>
      <w:pPr>
        <w:pStyle w:val="Nivel01"/>
        <w:widowControl/>
        <w:numPr>
          <w:ilvl w:val="2"/>
          <w:numId w:val="1"/>
        </w:numPr>
        <w:suppressAutoHyphens w:val="true"/>
        <w:bidi w:val="0"/>
        <w:spacing w:lineRule="auto" w:line="276" w:before="0" w:after="0"/>
        <w:ind w:left="3624" w:right="0" w:hanging="504"/>
        <w:contextualSpacing/>
        <w:rPr>
          <w:rFonts w:ascii="Times New Roman" w:hAnsi="Times New Roman"/>
          <w:b w:val="false"/>
          <w:b w:val="false"/>
          <w:bCs w:val="false"/>
          <w:kern w:val="0"/>
          <w:sz w:val="22"/>
          <w:szCs w:val="22"/>
          <w:lang w:val="pt-BR" w:eastAsia="pt-BR" w:bidi="ar-SA"/>
        </w:rPr>
      </w:pPr>
      <w:r>
        <w:rPr>
          <w:b w:val="false"/>
          <w:bCs w:val="false"/>
          <w:kern w:val="0"/>
          <w:sz w:val="22"/>
          <w:szCs w:val="22"/>
          <w:lang w:val="pt-BR" w:eastAsia="pt-BR" w:bidi="ar-SA"/>
        </w:rPr>
        <w:t>Primer anticorrosivo premium:</w:t>
      </w:r>
    </w:p>
    <w:p>
      <w:pPr>
        <w:pStyle w:val="Nivel01"/>
        <w:widowControl/>
        <w:numPr>
          <w:ilvl w:val="3"/>
          <w:numId w:val="1"/>
        </w:numPr>
        <w:suppressAutoHyphens w:val="true"/>
        <w:bidi w:val="0"/>
        <w:spacing w:lineRule="auto" w:line="276" w:before="0" w:after="0"/>
        <w:ind w:left="3626" w:right="0" w:hanging="648"/>
        <w:contextualSpacing/>
        <w:rPr>
          <w:rFonts w:ascii="Times New Roman" w:hAnsi="Times New Roman"/>
          <w:b w:val="false"/>
          <w:b w:val="false"/>
          <w:bCs w:val="false"/>
          <w:kern w:val="0"/>
          <w:sz w:val="22"/>
          <w:szCs w:val="22"/>
          <w:lang w:val="pt-BR" w:eastAsia="pt-BR" w:bidi="ar-SA"/>
        </w:rPr>
      </w:pPr>
      <w:r>
        <w:rPr>
          <w:b w:val="false"/>
          <w:bCs w:val="false"/>
          <w:kern w:val="0"/>
          <w:sz w:val="22"/>
          <w:szCs w:val="22"/>
          <w:lang w:val="pt-BR" w:eastAsia="pt-BR" w:bidi="ar-SA"/>
        </w:rPr>
        <w:t>Coral (Linha Marine Anticorrosivo);</w:t>
      </w:r>
    </w:p>
    <w:p>
      <w:pPr>
        <w:pStyle w:val="Nivel01"/>
        <w:widowControl/>
        <w:numPr>
          <w:ilvl w:val="3"/>
          <w:numId w:val="1"/>
        </w:numPr>
        <w:suppressAutoHyphens w:val="true"/>
        <w:bidi w:val="0"/>
        <w:spacing w:lineRule="auto" w:line="276" w:before="0" w:after="0"/>
        <w:ind w:left="3626" w:right="0" w:hanging="648"/>
        <w:contextualSpacing/>
        <w:rPr>
          <w:rFonts w:ascii="Times New Roman" w:hAnsi="Times New Roman"/>
          <w:b w:val="false"/>
          <w:b w:val="false"/>
          <w:bCs w:val="false"/>
          <w:kern w:val="0"/>
          <w:sz w:val="22"/>
          <w:szCs w:val="22"/>
          <w:lang w:val="pt-BR" w:eastAsia="pt-BR" w:bidi="ar-SA"/>
        </w:rPr>
      </w:pPr>
      <w:r>
        <w:rPr>
          <w:b w:val="false"/>
          <w:bCs w:val="false"/>
          <w:kern w:val="0"/>
          <w:sz w:val="22"/>
          <w:szCs w:val="22"/>
          <w:lang w:val="pt-BR" w:eastAsia="pt-BR" w:bidi="ar-SA"/>
        </w:rPr>
        <w:t>Suvinil (Linha Navalflex); ou</w:t>
      </w:r>
    </w:p>
    <w:p>
      <w:pPr>
        <w:pStyle w:val="Nivel01"/>
        <w:widowControl/>
        <w:numPr>
          <w:ilvl w:val="3"/>
          <w:numId w:val="1"/>
        </w:numPr>
        <w:suppressAutoHyphens w:val="true"/>
        <w:bidi w:val="0"/>
        <w:spacing w:lineRule="auto" w:line="276" w:before="0" w:after="0"/>
        <w:ind w:left="3626" w:right="0" w:hanging="648"/>
        <w:contextualSpacing/>
        <w:rPr>
          <w:rFonts w:ascii="Times New Roman" w:hAnsi="Times New Roman"/>
          <w:b w:val="false"/>
          <w:b w:val="false"/>
          <w:bCs w:val="false"/>
          <w:kern w:val="0"/>
          <w:sz w:val="22"/>
          <w:szCs w:val="22"/>
          <w:lang w:val="pt-BR" w:eastAsia="pt-BR" w:bidi="ar-SA"/>
        </w:rPr>
      </w:pPr>
      <w:r>
        <w:rPr>
          <w:b w:val="false"/>
          <w:bCs w:val="false"/>
          <w:kern w:val="0"/>
          <w:sz w:val="22"/>
          <w:szCs w:val="22"/>
          <w:lang w:val="pt-BR" w:eastAsia="pt-BR" w:bidi="ar-SA"/>
        </w:rPr>
        <w:t>equivalente premium com certificação Petrobrás N-1349.</w:t>
      </w:r>
    </w:p>
    <w:p>
      <w:pPr>
        <w:pStyle w:val="Normal"/>
        <w:widowControl/>
        <w:numPr>
          <w:ilvl w:val="0"/>
          <w:numId w:val="0"/>
        </w:numPr>
        <w:suppressAutoHyphens w:val="true"/>
        <w:bidi w:val="0"/>
        <w:spacing w:lineRule="auto" w:line="276" w:before="0" w:after="0"/>
        <w:ind w:left="0" w:hanging="0"/>
        <w:contextualSpacing/>
        <w:outlineLvl w:val="0"/>
        <w:rPr>
          <w:rFonts w:ascii="Times New Roman" w:hAnsi="Times New Roman"/>
          <w:b w:val="false"/>
          <w:b w:val="false"/>
          <w:bCs w:val="false"/>
          <w:kern w:val="0"/>
          <w:sz w:val="22"/>
          <w:szCs w:val="22"/>
          <w:lang w:val="pt-BR" w:eastAsia="pt-BR" w:bidi="ar-SA"/>
        </w:rPr>
      </w:pPr>
      <w:r>
        <w:rPr>
          <w:rFonts w:ascii="Times New Roman" w:hAnsi="Times New Roman"/>
          <w:b w:val="false"/>
          <w:bCs w:val="false"/>
          <w:kern w:val="0"/>
          <w:sz w:val="22"/>
          <w:szCs w:val="22"/>
          <w:lang w:val="pt-BR" w:eastAsia="pt-BR" w:bidi="ar-SA"/>
        </w:rPr>
      </w:r>
    </w:p>
    <w:p>
      <w:pPr>
        <w:pStyle w:val="Nivel01"/>
        <w:widowControl/>
        <w:numPr>
          <w:ilvl w:val="1"/>
          <w:numId w:val="1"/>
        </w:numPr>
        <w:suppressAutoHyphens w:val="true"/>
        <w:bidi w:val="0"/>
        <w:spacing w:lineRule="auto" w:line="276" w:before="0" w:after="0"/>
        <w:ind w:left="1709" w:right="0" w:hanging="432"/>
        <w:contextualSpacing/>
        <w:rPr>
          <w:rFonts w:ascii="Times New Roman" w:hAnsi="Times New Roman"/>
          <w:b w:val="false"/>
          <w:b w:val="false"/>
          <w:bCs w:val="false"/>
          <w:kern w:val="0"/>
          <w:sz w:val="22"/>
          <w:szCs w:val="22"/>
          <w:lang w:val="pt-BR" w:eastAsia="pt-BR" w:bidi="ar-SA"/>
        </w:rPr>
      </w:pPr>
      <w:r>
        <w:rPr>
          <w:b w:val="false"/>
          <w:bCs w:val="false"/>
          <w:kern w:val="0"/>
          <w:sz w:val="22"/>
          <w:szCs w:val="22"/>
          <w:lang w:val="pt-BR" w:eastAsia="pt-BR" w:bidi="ar-SA"/>
        </w:rPr>
        <w:t>Justificativa: As marcas e linhas premium citadas possuem comprovada eficiência superior em ambientes marítimos, com maior resistência à salinidade, intempéries e durabilidade estendida, conforme laudos técnicos anexos ao ETP.</w:t>
      </w:r>
    </w:p>
    <w:p>
      <w:pPr>
        <w:pStyle w:val="Normal"/>
        <w:widowControl/>
        <w:numPr>
          <w:ilvl w:val="0"/>
          <w:numId w:val="0"/>
        </w:numPr>
        <w:bidi w:val="0"/>
        <w:spacing w:lineRule="auto" w:line="276" w:before="0" w:after="0"/>
        <w:ind w:left="0" w:hanging="0"/>
        <w:contextualSpacing/>
        <w:jc w:val="left"/>
        <w:outlineLvl w:val="0"/>
        <w:rPr>
          <w:rFonts w:ascii="Times New Roman" w:hAnsi="Times New Roman"/>
          <w:b w:val="false"/>
          <w:b w:val="false"/>
          <w:bCs w:val="false"/>
          <w:sz w:val="22"/>
          <w:szCs w:val="22"/>
        </w:rPr>
      </w:pPr>
      <w:r>
        <w:rPr>
          <w:rFonts w:ascii="Times New Roman" w:hAnsi="Times New Roman"/>
          <w:b w:val="false"/>
          <w:bCs w:val="false"/>
          <w:sz w:val="22"/>
          <w:szCs w:val="22"/>
        </w:rPr>
      </w:r>
    </w:p>
    <w:p>
      <w:pPr>
        <w:pStyle w:val="Nivel01"/>
        <w:widowControl/>
        <w:numPr>
          <w:ilvl w:val="0"/>
          <w:numId w:val="0"/>
        </w:numPr>
        <w:suppressAutoHyphens w:val="true"/>
        <w:bidi w:val="0"/>
        <w:spacing w:lineRule="auto" w:line="276" w:before="0" w:after="0"/>
        <w:ind w:left="0" w:right="0" w:hanging="0"/>
        <w:contextualSpacing/>
        <w:jc w:val="left"/>
        <w:rPr>
          <w:rFonts w:ascii="Times New Roman" w:hAnsi="Times New Roman" w:eastAsia="Arial" w:cs="Arial"/>
          <w:b/>
          <w:b/>
          <w:bCs/>
          <w:iCs/>
          <w:color w:val="auto"/>
          <w:kern w:val="0"/>
          <w:lang w:val="pt-BR" w:eastAsia="pt-BR" w:bidi="ar-SA"/>
        </w:rPr>
      </w:pPr>
      <w:r>
        <w:rPr>
          <w:rFonts w:eastAsia="Arial" w:cs="Arial"/>
          <w:b/>
          <w:bCs/>
          <w:iCs/>
          <w:color w:val="auto"/>
          <w:kern w:val="0"/>
          <w:lang w:val="pt-BR" w:eastAsia="pt-BR" w:bidi="ar-SA"/>
        </w:rPr>
        <w:t>Subcontratação</w:t>
      </w:r>
    </w:p>
    <w:p>
      <w:pPr>
        <w:pStyle w:val="Nivel01"/>
        <w:widowControl/>
        <w:numPr>
          <w:ilvl w:val="1"/>
          <w:numId w:val="1"/>
        </w:numPr>
        <w:bidi w:val="0"/>
        <w:spacing w:lineRule="auto" w:line="276" w:before="0" w:after="0"/>
        <w:ind w:left="1709" w:right="0" w:hanging="432"/>
        <w:contextualSpacing/>
        <w:jc w:val="left"/>
        <w:rPr/>
      </w:pPr>
      <w:r>
        <w:rPr>
          <w:b w:val="false"/>
          <w:bCs w:val="false"/>
          <w:sz w:val="22"/>
          <w:szCs w:val="22"/>
        </w:rPr>
        <w:t>Não será admitida a subcontratação do objeto contratual.</w:t>
      </w:r>
    </w:p>
    <w:p>
      <w:pPr>
        <w:pStyle w:val="Normal"/>
        <w:widowControl/>
        <w:numPr>
          <w:ilvl w:val="0"/>
          <w:numId w:val="0"/>
        </w:numPr>
        <w:bidi w:val="0"/>
        <w:spacing w:lineRule="auto" w:line="276" w:before="0" w:after="0"/>
        <w:ind w:left="0" w:hanging="0"/>
        <w:contextualSpacing/>
        <w:jc w:val="left"/>
        <w:outlineLvl w:val="0"/>
        <w:rPr>
          <w:rFonts w:ascii="Times New Roman" w:hAnsi="Times New Roman"/>
          <w:b w:val="false"/>
          <w:b w:val="false"/>
          <w:bCs w:val="false"/>
          <w:sz w:val="22"/>
          <w:szCs w:val="22"/>
        </w:rPr>
      </w:pPr>
      <w:r>
        <w:rPr>
          <w:rFonts w:ascii="Times New Roman" w:hAnsi="Times New Roman"/>
          <w:b w:val="false"/>
          <w:bCs w:val="false"/>
          <w:sz w:val="22"/>
          <w:szCs w:val="22"/>
        </w:rPr>
      </w:r>
    </w:p>
    <w:p>
      <w:pPr>
        <w:pStyle w:val="Nivel01"/>
        <w:numPr>
          <w:ilvl w:val="0"/>
          <w:numId w:val="0"/>
        </w:numPr>
        <w:ind w:left="1822" w:right="0" w:hanging="0"/>
        <w:rPr/>
      </w:pPr>
      <w:commentRangeStart w:id="4"/>
      <w:r>
        <w:rPr>
          <w:b/>
          <w:bCs/>
          <w:sz w:val="22"/>
          <w:szCs w:val="22"/>
        </w:rPr>
        <w:t xml:space="preserve">Garantia </w:t>
      </w:r>
      <w:r>
        <w:rPr>
          <w:rFonts w:eastAsia="Arial" w:cs="Arial"/>
          <w:b/>
          <w:bCs/>
          <w:iCs/>
          <w:color w:val="auto"/>
          <w:kern w:val="0"/>
          <w:sz w:val="22"/>
          <w:szCs w:val="22"/>
          <w:lang w:val="pt-BR" w:eastAsia="pt-BR" w:bidi="ar-SA"/>
        </w:rPr>
        <w:t>da</w:t>
      </w:r>
      <w:r>
        <w:rPr>
          <w:b/>
          <w:bCs/>
          <w:sz w:val="22"/>
          <w:szCs w:val="22"/>
        </w:rPr>
        <w:t xml:space="preserve"> contratação</w:t>
      </w:r>
      <w:commentRangeEnd w:id="4"/>
      <w:r>
        <w:commentReference w:id="4"/>
      </w:r>
      <w:r>
        <w:rPr>
          <w:b/>
          <w:bCs/>
          <w:sz w:val="22"/>
          <w:szCs w:val="22"/>
        </w:rPr>
      </w:r>
    </w:p>
    <w:p>
      <w:pPr>
        <w:pStyle w:val="Nivel01"/>
        <w:numPr>
          <w:ilvl w:val="1"/>
          <w:numId w:val="1"/>
        </w:numPr>
        <w:ind w:left="1709" w:right="0" w:hanging="432"/>
        <w:rPr>
          <w:rFonts w:ascii="Times New Roman" w:hAnsi="Times New Roman"/>
          <w:b w:val="false"/>
          <w:b w:val="false"/>
          <w:bCs w:val="false"/>
          <w:i w:val="false"/>
          <w:i w:val="false"/>
          <w:iCs w:val="false"/>
          <w:sz w:val="22"/>
          <w:szCs w:val="22"/>
        </w:rPr>
      </w:pPr>
      <w:r>
        <w:rPr>
          <w:b w:val="false"/>
          <w:bCs w:val="false"/>
          <w:i w:val="false"/>
          <w:iCs w:val="false"/>
          <w:color w:val="000000"/>
          <w:sz w:val="22"/>
          <w:szCs w:val="22"/>
        </w:rPr>
        <w:t>Não haverá exigência da garantia da contratação dos art. 96 e seguintes da Lei nº 14.133, de 2021, pelas razões constantes do Estudo Técnico Preliminar.</w:t>
      </w:r>
    </w:p>
    <w:p>
      <w:pPr>
        <w:pStyle w:val="Normal"/>
        <w:ind w:left="357" w:hanging="357"/>
        <w:rPr/>
      </w:pPr>
      <w:r>
        <w:rPr>
          <w:rFonts w:ascii="Times New Roman" w:hAnsi="Times New Roman"/>
          <w:b/>
          <w:bCs/>
          <w:i w:val="false"/>
          <w:iCs w:val="false"/>
          <w:color w:val="000000"/>
          <w:sz w:val="22"/>
          <w:szCs w:val="22"/>
        </w:rPr>
        <w:t xml:space="preserve">                                                                                                                 </w:t>
      </w:r>
    </w:p>
    <w:p>
      <w:pPr>
        <w:pStyle w:val="Nivel01"/>
        <w:numPr>
          <w:ilvl w:val="0"/>
          <w:numId w:val="0"/>
        </w:numPr>
        <w:ind w:left="1495" w:right="0" w:hanging="0"/>
        <w:rPr>
          <w:rFonts w:ascii="Calibri" w:hAnsi="Calibri" w:eastAsia="Arial" w:cs="Arial"/>
          <w:color w:val="000000"/>
          <w:kern w:val="0"/>
          <w:sz w:val="22"/>
          <w:szCs w:val="22"/>
          <w:lang w:val="pt-BR" w:eastAsia="pt-BR" w:bidi="ar-SA"/>
        </w:rPr>
      </w:pPr>
      <w:r>
        <w:rPr>
          <w:rFonts w:eastAsia="Arial" w:cs="Arial" w:ascii="Calibri" w:hAnsi="Calibri"/>
          <w:color w:val="000000"/>
          <w:kern w:val="0"/>
          <w:sz w:val="22"/>
          <w:szCs w:val="22"/>
          <w:lang w:val="pt-BR" w:eastAsia="pt-BR" w:bidi="ar-SA"/>
        </w:rPr>
      </w:r>
    </w:p>
    <w:p>
      <w:pPr>
        <w:pStyle w:val="Nivel01"/>
        <w:numPr>
          <w:ilvl w:val="0"/>
          <w:numId w:val="1"/>
        </w:numPr>
        <w:ind w:left="357" w:right="0" w:hanging="357"/>
        <w:rPr>
          <w:rFonts w:ascii="Times New Roman" w:hAnsi="Times New Roman"/>
          <w:b w:val="false"/>
          <w:b w:val="false"/>
          <w:bCs w:val="false"/>
          <w:i w:val="false"/>
          <w:i w:val="false"/>
          <w:iCs w:val="false"/>
          <w:sz w:val="22"/>
          <w:szCs w:val="22"/>
        </w:rPr>
      </w:pPr>
      <w:bookmarkStart w:id="4" w:name="_Hlk170740922_Copia_1"/>
      <w:bookmarkEnd w:id="4"/>
      <w:commentRangeStart w:id="5"/>
      <w:r>
        <w:rPr>
          <w:b/>
          <w:bCs/>
          <w:i w:val="false"/>
          <w:iCs w:val="false"/>
          <w:color w:val="000000"/>
          <w:sz w:val="22"/>
          <w:szCs w:val="22"/>
        </w:rPr>
        <w:t xml:space="preserve">MODELO </w:t>
      </w:r>
      <w:r>
        <w:rPr>
          <w:b/>
          <w:bCs/>
          <w:i w:val="false"/>
          <w:iCs w:val="false"/>
          <w:color w:val="000000"/>
          <w:sz w:val="22"/>
          <w:szCs w:val="22"/>
        </w:rPr>
      </w:r>
      <w:commentRangeEnd w:id="5"/>
      <w:r>
        <w:commentReference w:id="5"/>
      </w:r>
      <w:r>
        <w:rPr>
          <w:b/>
          <w:bCs/>
          <w:i w:val="false"/>
          <w:iCs w:val="false"/>
          <w:color w:val="000000"/>
          <w:sz w:val="22"/>
          <w:szCs w:val="22"/>
        </w:rPr>
        <w:t>DE EXECUÇÃO DO OBJETO</w:t>
      </w:r>
    </w:p>
    <w:p>
      <w:pPr>
        <w:pStyle w:val="Nvel1SemNumerao"/>
        <w:widowControl/>
        <w:numPr>
          <w:ilvl w:val="0"/>
          <w:numId w:val="1"/>
        </w:numPr>
        <w:suppressAutoHyphens w:val="true"/>
        <w:bidi w:val="0"/>
        <w:spacing w:lineRule="auto" w:line="276" w:before="120" w:after="120"/>
        <w:ind w:left="0" w:right="0" w:hanging="0"/>
        <w:contextualSpacing/>
        <w:jc w:val="left"/>
        <w:rPr>
          <w:rFonts w:ascii="Calibri" w:hAnsi="Calibri"/>
          <w:color w:val="000000"/>
          <w:sz w:val="22"/>
          <w:szCs w:val="22"/>
        </w:rPr>
      </w:pPr>
      <w:r>
        <w:rPr>
          <w:rFonts w:eastAsia="Arial" w:cs="Arial"/>
          <w:i w:val="false"/>
          <w:iCs w:val="false"/>
          <w:color w:val="000000"/>
          <w:kern w:val="0"/>
          <w:sz w:val="22"/>
          <w:szCs w:val="22"/>
          <w:lang w:val="pt-BR" w:eastAsia="pt-BR" w:bidi="ar-SA"/>
        </w:rPr>
        <w:t>Condições de Entrega</w:t>
      </w:r>
    </w:p>
    <w:p>
      <w:pPr>
        <w:pStyle w:val="Nivel01"/>
        <w:widowControl/>
        <w:numPr>
          <w:ilvl w:val="1"/>
          <w:numId w:val="1"/>
        </w:numPr>
        <w:suppressAutoHyphens w:val="true"/>
        <w:bidi w:val="0"/>
        <w:spacing w:lineRule="auto" w:line="276" w:before="0" w:after="0"/>
        <w:ind w:left="1709" w:right="0" w:hanging="432"/>
        <w:contextualSpacing/>
        <w:rPr>
          <w:rFonts w:ascii="Times New Roman" w:hAnsi="Times New Roman" w:eastAsia="Arial" w:cs="Arial"/>
          <w:iCs/>
          <w:color w:val="000000"/>
          <w:kern w:val="0"/>
          <w:sz w:val="22"/>
          <w:szCs w:val="22"/>
          <w:lang w:val="pt-BR" w:eastAsia="pt-BR" w:bidi="ar-SA"/>
        </w:rPr>
      </w:pPr>
      <w:r>
        <w:rPr>
          <w:rFonts w:eastAsia="Arial" w:cs="Arial"/>
          <w:iCs/>
          <w:color w:val="000000"/>
          <w:kern w:val="0"/>
          <w:sz w:val="22"/>
          <w:szCs w:val="22"/>
          <w:lang w:val="pt-BR" w:eastAsia="pt-BR" w:bidi="ar-SA"/>
        </w:rPr>
        <w:t>A entrega dos itens deverá ser feita diariamente nas quantidades estabelecidas no Apêndice II  deste instrumento, no seguinte endereço:</w:t>
      </w:r>
      <w:r>
        <w:rPr>
          <w:rFonts w:eastAsia="Arial" w:cs="Arial"/>
          <w:b/>
          <w:bCs/>
          <w:iCs/>
          <w:color w:val="000000"/>
          <w:kern w:val="0"/>
          <w:sz w:val="22"/>
          <w:szCs w:val="22"/>
          <w:lang w:val="pt-BR" w:eastAsia="pt-BR" w:bidi="ar-SA"/>
        </w:rPr>
        <w:t xml:space="preserve"> Comando do 1º  Distrito Naval – Praça Mauá, 65- Centro – RJ – CEP 20.0081-240 . Horário de entrega das 08:00 as 11:30 e 13:30 as 15:30.</w:t>
      </w:r>
    </w:p>
    <w:p>
      <w:pPr>
        <w:pStyle w:val="Normal"/>
        <w:widowControl/>
        <w:numPr>
          <w:ilvl w:val="0"/>
          <w:numId w:val="0"/>
        </w:numPr>
        <w:suppressAutoHyphens w:val="true"/>
        <w:bidi w:val="0"/>
        <w:spacing w:lineRule="auto" w:line="276" w:before="0" w:after="0"/>
        <w:ind w:left="1709" w:right="0" w:hanging="432"/>
        <w:contextualSpacing/>
        <w:outlineLvl w:val="0"/>
        <w:rPr/>
      </w:pPr>
      <w:r>
        <w:rPr>
          <w:rFonts w:eastAsia="Arial" w:cs="Arial" w:ascii="Times New Roman" w:hAnsi="Times New Roman"/>
          <w:b/>
          <w:bCs/>
          <w:iCs/>
          <w:color w:val="000000"/>
          <w:kern w:val="0"/>
          <w:sz w:val="22"/>
          <w:szCs w:val="22"/>
          <w:lang w:val="pt-BR" w:eastAsia="pt-BR" w:bidi="ar-SA"/>
        </w:rPr>
        <w:t>6.1.1 O prazo de entrega dos materiais é de 15 (quinze) dias.</w:t>
      </w:r>
    </w:p>
    <w:p>
      <w:pPr>
        <w:pStyle w:val="Nivel01"/>
        <w:widowControl/>
        <w:numPr>
          <w:ilvl w:val="1"/>
          <w:numId w:val="1"/>
        </w:numPr>
        <w:suppressAutoHyphens w:val="true"/>
        <w:bidi w:val="0"/>
        <w:spacing w:lineRule="auto" w:line="276" w:before="0" w:after="0"/>
        <w:ind w:left="1709" w:right="0" w:hanging="432"/>
        <w:contextualSpacing/>
        <w:rPr>
          <w:rFonts w:ascii="Times New Roman" w:hAnsi="Times New Roman" w:eastAsia="Arial" w:cs="Arial"/>
          <w:b w:val="false"/>
          <w:b w:val="false"/>
          <w:bCs w:val="false"/>
          <w:iCs/>
          <w:color w:val="000000"/>
          <w:kern w:val="0"/>
          <w:sz w:val="22"/>
          <w:szCs w:val="22"/>
          <w:lang w:val="pt-BR" w:eastAsia="pt-BR" w:bidi="ar-SA"/>
        </w:rPr>
      </w:pPr>
      <w:r>
        <w:rPr>
          <w:rFonts w:eastAsia="Arial" w:cs="Arial"/>
          <w:b w:val="false"/>
          <w:bCs w:val="false"/>
          <w:iCs/>
          <w:color w:val="000000"/>
          <w:kern w:val="0"/>
          <w:sz w:val="22"/>
          <w:szCs w:val="22"/>
          <w:lang w:val="pt-BR" w:eastAsia="pt-BR" w:bidi="ar-SA"/>
        </w:rPr>
        <w:t>Os bens serão recebidos conforme Decreto 29.231/2008. Atualmente é proibida a circulação de veículos de carga das 8h às 11:30h e de 13h às 15:30h, nos dias úteis.</w:t>
      </w:r>
    </w:p>
    <w:p>
      <w:pPr>
        <w:pStyle w:val="Nivel01"/>
        <w:widowControl/>
        <w:numPr>
          <w:ilvl w:val="1"/>
          <w:numId w:val="1"/>
        </w:numPr>
        <w:suppressAutoHyphens w:val="true"/>
        <w:bidi w:val="0"/>
        <w:spacing w:lineRule="auto" w:line="276" w:before="0" w:after="0"/>
        <w:ind w:left="1709" w:right="0" w:hanging="432"/>
        <w:contextualSpacing/>
        <w:rPr>
          <w:rFonts w:ascii="Times New Roman" w:hAnsi="Times New Roman" w:eastAsia="Arial" w:cs="Arial"/>
          <w:b w:val="false"/>
          <w:b w:val="false"/>
          <w:bCs w:val="false"/>
          <w:iCs/>
          <w:color w:val="000000"/>
          <w:kern w:val="0"/>
          <w:sz w:val="22"/>
          <w:szCs w:val="22"/>
          <w:lang w:val="pt-BR" w:eastAsia="pt-BR" w:bidi="ar-SA"/>
        </w:rPr>
      </w:pPr>
      <w:r>
        <w:rPr>
          <w:rFonts w:eastAsia="Arial" w:cs="Arial"/>
          <w:b w:val="false"/>
          <w:bCs w:val="false"/>
          <w:iCs/>
          <w:color w:val="000000"/>
          <w:kern w:val="0"/>
          <w:sz w:val="22"/>
          <w:szCs w:val="22"/>
          <w:lang w:val="pt-BR" w:eastAsia="pt-BR" w:bidi="ar-SA"/>
        </w:rPr>
        <w:t>Os bens serão recebidos diariamente pelo (a) responsável pelo acompanhamento e fiscalização do contrato, para efeito de posterior verificação de sua conformidade com as especificações constantes neste Termo de Referência e na proposta.</w:t>
      </w:r>
    </w:p>
    <w:p>
      <w:pPr>
        <w:pStyle w:val="Nivel01"/>
        <w:widowControl/>
        <w:numPr>
          <w:ilvl w:val="1"/>
          <w:numId w:val="1"/>
        </w:numPr>
        <w:suppressAutoHyphens w:val="true"/>
        <w:bidi w:val="0"/>
        <w:spacing w:lineRule="auto" w:line="276" w:before="0" w:after="0"/>
        <w:ind w:left="1709" w:right="0" w:hanging="432"/>
        <w:contextualSpacing/>
        <w:rPr>
          <w:rFonts w:ascii="Times New Roman" w:hAnsi="Times New Roman" w:eastAsia="Arial" w:cs="Arial"/>
          <w:iCs/>
          <w:color w:val="000000"/>
          <w:kern w:val="0"/>
          <w:sz w:val="22"/>
          <w:szCs w:val="22"/>
          <w:lang w:val="pt-BR" w:eastAsia="pt-BR" w:bidi="ar-SA"/>
        </w:rPr>
      </w:pPr>
      <w:r>
        <w:rPr>
          <w:rFonts w:eastAsia="Arial" w:cs="Arial"/>
          <w:iCs/>
          <w:color w:val="000000"/>
          <w:kern w:val="0"/>
          <w:sz w:val="22"/>
          <w:szCs w:val="22"/>
          <w:lang w:val="pt-BR" w:eastAsia="pt-BR" w:bidi="ar-SA"/>
        </w:rPr>
        <w:t>Os bens poderão ser rejeitados, quando em desacordo com as especificações constantes neste Termo de Referência e na proposta, devendo ser substituídos no prazo de 05 (cinco) dias, a contar da notificação da contratada, às suas custas, sem prejuízo da aplicação das penalidades.</w:t>
      </w:r>
    </w:p>
    <w:p>
      <w:pPr>
        <w:pStyle w:val="Nivel01"/>
        <w:widowControl/>
        <w:numPr>
          <w:ilvl w:val="1"/>
          <w:numId w:val="1"/>
        </w:numPr>
        <w:suppressAutoHyphens w:val="true"/>
        <w:bidi w:val="0"/>
        <w:spacing w:lineRule="auto" w:line="276" w:before="0" w:after="0"/>
        <w:ind w:left="1709" w:right="0" w:hanging="432"/>
        <w:contextualSpacing/>
        <w:rPr>
          <w:rFonts w:ascii="Times New Roman" w:hAnsi="Times New Roman" w:eastAsia="Arial" w:cs="Arial"/>
          <w:iCs/>
          <w:color w:val="000000"/>
          <w:kern w:val="0"/>
          <w:sz w:val="22"/>
          <w:szCs w:val="22"/>
          <w:lang w:val="pt-BR" w:eastAsia="pt-BR" w:bidi="ar-SA"/>
        </w:rPr>
      </w:pPr>
      <w:r>
        <w:rPr>
          <w:rFonts w:eastAsia="Arial" w:cs="Arial"/>
          <w:iCs/>
          <w:color w:val="000000"/>
          <w:kern w:val="0"/>
          <w:sz w:val="22"/>
          <w:szCs w:val="22"/>
          <w:lang w:val="pt-BR" w:eastAsia="pt-BR" w:bidi="ar-SA"/>
        </w:rPr>
        <w:t>Os bens serão recebidos definitivamente no prazo diariamente contado do recebimento provisório, após a verificação da qualidade e quantidade do material e consequente aceitação mediante termo circunstanciado.</w:t>
      </w:r>
    </w:p>
    <w:p>
      <w:pPr>
        <w:pStyle w:val="Nivel01"/>
        <w:widowControl/>
        <w:numPr>
          <w:ilvl w:val="1"/>
          <w:numId w:val="1"/>
        </w:numPr>
        <w:suppressAutoHyphens w:val="true"/>
        <w:bidi w:val="0"/>
        <w:spacing w:lineRule="auto" w:line="276" w:before="0" w:after="0"/>
        <w:ind w:left="1709" w:right="0" w:hanging="432"/>
        <w:contextualSpacing/>
        <w:rPr>
          <w:rFonts w:ascii="Times New Roman" w:hAnsi="Times New Roman" w:eastAsia="Arial" w:cs="Arial"/>
          <w:iCs/>
          <w:color w:val="000000"/>
          <w:kern w:val="0"/>
          <w:sz w:val="22"/>
          <w:szCs w:val="22"/>
          <w:lang w:val="pt-BR" w:eastAsia="pt-BR" w:bidi="ar-SA"/>
        </w:rPr>
      </w:pPr>
      <w:r>
        <w:rPr>
          <w:rFonts w:eastAsia="Arial" w:cs="Arial"/>
          <w:iCs/>
          <w:color w:val="000000"/>
          <w:kern w:val="0"/>
          <w:sz w:val="22"/>
          <w:szCs w:val="22"/>
          <w:lang w:val="pt-BR" w:eastAsia="pt-BR" w:bidi="ar-SA"/>
        </w:rPr>
        <w:t>Na hipótese de a verificação a que se refere o subitem anterior não ser procedida dentro do prazo fixado, reputar-se-á como realizada, consumando-se o recebimento definitivo no dia do esgotamento do prazo.</w:t>
      </w:r>
    </w:p>
    <w:p>
      <w:pPr>
        <w:pStyle w:val="Nivel01"/>
        <w:widowControl/>
        <w:numPr>
          <w:ilvl w:val="1"/>
          <w:numId w:val="1"/>
        </w:numPr>
        <w:suppressAutoHyphens w:val="true"/>
        <w:bidi w:val="0"/>
        <w:spacing w:lineRule="auto" w:line="276" w:before="0" w:after="0"/>
        <w:ind w:left="1709" w:right="0" w:hanging="432"/>
        <w:contextualSpacing/>
        <w:rPr>
          <w:rFonts w:ascii="Times New Roman" w:hAnsi="Times New Roman" w:eastAsia="Arial" w:cs="Arial"/>
          <w:iCs/>
          <w:color w:val="000000"/>
          <w:kern w:val="0"/>
          <w:sz w:val="22"/>
          <w:szCs w:val="22"/>
          <w:lang w:val="pt-BR" w:eastAsia="pt-BR" w:bidi="ar-SA"/>
        </w:rPr>
      </w:pPr>
      <w:r>
        <w:rPr>
          <w:rFonts w:eastAsia="Arial" w:cs="Arial"/>
          <w:iCs/>
          <w:color w:val="000000"/>
          <w:kern w:val="0"/>
          <w:sz w:val="22"/>
          <w:szCs w:val="22"/>
          <w:lang w:val="pt-BR" w:eastAsia="pt-BR" w:bidi="ar-SA"/>
        </w:rPr>
        <w:t>O recebimento provisório ou definitivo do objeto não exclui a responsabilidade da contratada pelos prejuízos resultantes da incorreta execução do contrato.</w:t>
      </w:r>
    </w:p>
    <w:p>
      <w:pPr>
        <w:pStyle w:val="Nvel1SemNumerao"/>
        <w:numPr>
          <w:ilvl w:val="0"/>
          <w:numId w:val="1"/>
        </w:numPr>
        <w:ind w:left="0" w:right="0" w:hanging="0"/>
        <w:rPr>
          <w:rFonts w:ascii="Calibri" w:hAnsi="Calibri"/>
          <w:color w:val="000000"/>
          <w:sz w:val="22"/>
          <w:szCs w:val="22"/>
        </w:rPr>
      </w:pPr>
      <w:commentRangeStart w:id="6"/>
      <w:r>
        <w:rPr>
          <w:b/>
          <w:bCs/>
          <w:i w:val="false"/>
          <w:iCs w:val="false"/>
          <w:color w:val="000000"/>
          <w:sz w:val="22"/>
          <w:szCs w:val="22"/>
        </w:rPr>
        <w:t>Garantia, manutenção e assistência técnica</w:t>
      </w:r>
      <w:commentRangeEnd w:id="6"/>
      <w:r>
        <w:commentReference w:id="6"/>
      </w:r>
      <w:r>
        <w:rPr>
          <w:b/>
          <w:bCs/>
          <w:i w:val="false"/>
          <w:iCs w:val="false"/>
          <w:color w:val="000000"/>
          <w:sz w:val="22"/>
          <w:szCs w:val="22"/>
        </w:rPr>
      </w:r>
    </w:p>
    <w:p>
      <w:pPr>
        <w:pStyle w:val="Nivel01"/>
        <w:widowControl/>
        <w:numPr>
          <w:ilvl w:val="1"/>
          <w:numId w:val="1"/>
        </w:numPr>
        <w:bidi w:val="0"/>
        <w:spacing w:lineRule="auto" w:line="276" w:before="0" w:after="0"/>
        <w:ind w:left="1709" w:right="0" w:hanging="432"/>
        <w:contextualSpacing/>
        <w:jc w:val="left"/>
        <w:rPr>
          <w:rFonts w:ascii="Times New Roman" w:hAnsi="Times New Roman"/>
          <w:b w:val="false"/>
          <w:b w:val="false"/>
          <w:bCs w:val="false"/>
          <w:sz w:val="22"/>
          <w:szCs w:val="22"/>
        </w:rPr>
      </w:pPr>
      <w:r>
        <w:rPr>
          <w:b w:val="false"/>
          <w:bCs w:val="false"/>
          <w:sz w:val="22"/>
          <w:szCs w:val="22"/>
        </w:rPr>
        <w:t>O prazo de garantia é aquele estabelecido na Lei nº 8.078, de 11 de setembro de 1990 (Código de Defesa do Consumidor).</w:t>
      </w:r>
    </w:p>
    <w:p>
      <w:pPr>
        <w:pStyle w:val="Nvel2Opcional1"/>
        <w:numPr>
          <w:ilvl w:val="0"/>
          <w:numId w:val="0"/>
        </w:numPr>
        <w:shd w:val="clear" w:fill="FFFFFF"/>
        <w:ind w:left="1709" w:hanging="0"/>
        <w:rPr/>
      </w:pPr>
      <w:r>
        <w:rPr/>
        <w:commentReference w:id="7"/>
      </w:r>
    </w:p>
    <w:p>
      <w:pPr>
        <w:pStyle w:val="Nivel01"/>
        <w:widowControl/>
        <w:numPr>
          <w:ilvl w:val="0"/>
          <w:numId w:val="1"/>
        </w:numPr>
        <w:suppressAutoHyphens w:val="true"/>
        <w:bidi w:val="0"/>
        <w:spacing w:lineRule="auto" w:line="276" w:before="0" w:after="0"/>
        <w:ind w:left="357" w:right="0" w:hanging="357"/>
        <w:contextualSpacing/>
        <w:jc w:val="left"/>
        <w:rPr>
          <w:rFonts w:ascii="Times New Roman" w:hAnsi="Times New Roman" w:eastAsia="Arial" w:cs="Arial"/>
          <w:i w:val="false"/>
          <w:i w:val="false"/>
          <w:iCs w:val="false"/>
          <w:color w:val="000000"/>
          <w:kern w:val="0"/>
          <w:sz w:val="22"/>
          <w:szCs w:val="22"/>
          <w:lang w:val="pt-BR" w:eastAsia="pt-BR" w:bidi="ar-SA"/>
        </w:rPr>
      </w:pPr>
      <w:r>
        <w:rPr>
          <w:rFonts w:eastAsia="Arial" w:cs="Arial"/>
          <w:b/>
          <w:bCs/>
          <w:i w:val="false"/>
          <w:iCs w:val="false"/>
          <w:color w:val="000000"/>
          <w:kern w:val="0"/>
          <w:sz w:val="22"/>
          <w:szCs w:val="22"/>
          <w:lang w:val="pt-BR" w:eastAsia="pt-BR" w:bidi="ar-SA"/>
        </w:rPr>
        <w:t>MODELO DE GESTÃO DO CONTRATO</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O contrato deverá ser executado fielmente pelas partes, de acordo com as cláusulas avençadas e as normas da Lei nº 14.133, de 2021, e cada parte responderá pelas consequências de sua inexecução total ou parcial.</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Em caso de impedimento, ordem de paralisação ou suspensão do contrato, o cronograma de execução será prorrogado automaticamente pelo tempo correspondente, anotadas tais circunstâncias mediante simples apostila.</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As comunicações entre o órgão ou entidade e a contratada devem ser realizadas por escrito sempre que o ato exigir tal formalidade, admitindo-se o uso de mensagem eletrônica para esse fim.</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O órgão ou entidade poderá convocar representante da empresa para adoção de providências que devam ser cumpridas de imediato.</w:t>
      </w:r>
    </w:p>
    <w:p>
      <w:pPr>
        <w:pStyle w:val="Nvel1SemNumerao"/>
        <w:widowControl/>
        <w:numPr>
          <w:ilvl w:val="0"/>
          <w:numId w:val="1"/>
        </w:numPr>
        <w:suppressAutoHyphens w:val="true"/>
        <w:bidi w:val="0"/>
        <w:spacing w:lineRule="auto" w:line="276" w:before="120" w:after="120"/>
        <w:ind w:left="0" w:right="0" w:hanging="0"/>
        <w:contextualSpacing/>
        <w:jc w:val="left"/>
        <w:rPr>
          <w:rFonts w:ascii="Calibri" w:hAnsi="Calibri"/>
          <w:color w:val="000000"/>
          <w:sz w:val="22"/>
          <w:szCs w:val="22"/>
        </w:rPr>
      </w:pPr>
      <w:r>
        <w:rPr>
          <w:rFonts w:eastAsia="Arial" w:cs="Arial"/>
          <w:i w:val="false"/>
          <w:iCs w:val="false"/>
          <w:color w:val="000000"/>
          <w:kern w:val="0"/>
          <w:sz w:val="22"/>
          <w:szCs w:val="22"/>
          <w:lang w:val="pt-BR" w:eastAsia="pt-BR" w:bidi="ar-SA"/>
        </w:rPr>
        <w:t>Fiscalização</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commentRangeStart w:id="8"/>
      <w:r>
        <w:rPr>
          <w:rFonts w:ascii="Times New Roman" w:hAnsi="Times New Roman"/>
          <w:b w:val="false"/>
          <w:bCs w:val="false"/>
          <w:i w:val="false"/>
          <w:iCs w:val="false"/>
          <w:color w:val="000000"/>
          <w:sz w:val="22"/>
          <w:szCs w:val="22"/>
        </w:rPr>
        <w:t>A execução do contrato deverá ser acompanhada e fiscalizada pelo(s) fiscal(is) do contrato, ou pelos respectivos substitutos.</w:t>
      </w:r>
      <w:commentRangeEnd w:id="8"/>
      <w:r>
        <w:commentReference w:id="8"/>
      </w:r>
      <w:r>
        <w:rPr>
          <w:rFonts w:ascii="Times New Roman" w:hAnsi="Times New Roman"/>
          <w:b w:val="false"/>
          <w:bCs w:val="false"/>
          <w:i w:val="false"/>
          <w:iCs w:val="false"/>
          <w:color w:val="000000"/>
          <w:sz w:val="22"/>
          <w:szCs w:val="22"/>
        </w:rPr>
      </w:r>
    </w:p>
    <w:p>
      <w:pPr>
        <w:pStyle w:val="Nvel1SemNumerao"/>
        <w:widowControl/>
        <w:numPr>
          <w:ilvl w:val="0"/>
          <w:numId w:val="1"/>
        </w:numPr>
        <w:suppressAutoHyphens w:val="true"/>
        <w:bidi w:val="0"/>
        <w:spacing w:lineRule="auto" w:line="276" w:before="120" w:after="120"/>
        <w:ind w:left="0" w:right="0" w:hanging="0"/>
        <w:contextualSpacing/>
        <w:jc w:val="left"/>
        <w:rPr>
          <w:rFonts w:ascii="Calibri" w:hAnsi="Calibri"/>
          <w:color w:val="000000"/>
          <w:sz w:val="22"/>
          <w:szCs w:val="22"/>
        </w:rPr>
      </w:pPr>
      <w:r>
        <w:rPr>
          <w:rFonts w:eastAsia="Arial" w:cs="Arial"/>
          <w:i w:val="false"/>
          <w:iCs w:val="false"/>
          <w:color w:val="000000"/>
          <w:kern w:val="0"/>
          <w:sz w:val="22"/>
          <w:szCs w:val="22"/>
          <w:lang w:val="pt-BR" w:eastAsia="pt-BR" w:bidi="ar-SA"/>
        </w:rPr>
        <w:t>Fiscalização Técnica</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O fiscal técnico do contrato acompanhará a execução do contrato, para que sejam cumpridas todas as condições estabelecidas no contrato, de modo a assegurar os melhores resultados para a Administração.</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O fiscal técnico do contrato anotará no histórico de gerenciamento do contrato todas as ocorrências relacionadas à execução do contrato, com a descrição do que for necessário para a regularização das faltas ou dos defeitos observados.</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Identificada qualquer inexatidão ou irregularidade, o fiscal técnico do contrato emitirá notificações para a correção da execução do contrato, determinando prazo para a correção.</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O fiscal técnico do contrato informará ao gestor do contato, em tempo hábil, a situação que demandar decisão ou adoção de medidas que ultrapassem sua competência, para que adote as medidas necessárias e saneadoras, se for o caso.</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No caso de ocorrências que possam inviabilizar a execução do contrato nas datas aprazadas, o fiscal técnico do contrato comunicará o fato imediatamente ao gestor do contrato.</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O fiscal técnico do contrato comunicará ao gestor do contrato, em tempo hábil, o término do contrato sob sua responsabilidade, com vistas à renovação tempestiva ou à prorrogação contratual.</w:t>
      </w:r>
    </w:p>
    <w:p>
      <w:pPr>
        <w:pStyle w:val="Nvel1SemNumerao"/>
        <w:widowControl/>
        <w:numPr>
          <w:ilvl w:val="0"/>
          <w:numId w:val="1"/>
        </w:numPr>
        <w:suppressAutoHyphens w:val="true"/>
        <w:bidi w:val="0"/>
        <w:spacing w:lineRule="auto" w:line="276" w:before="120" w:after="120"/>
        <w:ind w:left="0" w:right="0" w:hanging="0"/>
        <w:contextualSpacing/>
        <w:jc w:val="left"/>
        <w:rPr>
          <w:rFonts w:ascii="Calibri" w:hAnsi="Calibri"/>
          <w:color w:val="000000"/>
          <w:sz w:val="22"/>
          <w:szCs w:val="22"/>
        </w:rPr>
      </w:pPr>
      <w:r>
        <w:rPr>
          <w:rFonts w:eastAsia="Arial" w:cs="Arial"/>
          <w:i w:val="false"/>
          <w:iCs w:val="false"/>
          <w:color w:val="000000"/>
          <w:kern w:val="0"/>
          <w:sz w:val="22"/>
          <w:szCs w:val="22"/>
          <w:lang w:val="pt-BR" w:eastAsia="pt-BR" w:bidi="ar-SA"/>
        </w:rPr>
        <w:t>Fiscalização Administrativa</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Caso ocorra descumprimento das obrigações contratuais, o fiscal administrativo do contrato atuará tempestivamente na solução do problema, reportando ao gestor do contrato para que tome as providências cabíveis, quando ultrapassar a sua competência.</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pPr>
        <w:pStyle w:val="Nvel1SemNumerao"/>
        <w:widowControl/>
        <w:numPr>
          <w:ilvl w:val="0"/>
          <w:numId w:val="1"/>
        </w:numPr>
        <w:suppressAutoHyphens w:val="true"/>
        <w:bidi w:val="0"/>
        <w:spacing w:lineRule="auto" w:line="276" w:before="120" w:after="120"/>
        <w:ind w:left="0" w:right="0" w:hanging="0"/>
        <w:contextualSpacing/>
        <w:jc w:val="left"/>
        <w:rPr>
          <w:rFonts w:ascii="Calibri" w:hAnsi="Calibri"/>
          <w:color w:val="000000"/>
          <w:sz w:val="22"/>
          <w:szCs w:val="22"/>
        </w:rPr>
      </w:pPr>
      <w:r>
        <w:rPr>
          <w:rFonts w:eastAsia="Arial" w:cs="Arial"/>
          <w:i w:val="false"/>
          <w:iCs w:val="false"/>
          <w:color w:val="000000"/>
          <w:kern w:val="0"/>
          <w:sz w:val="22"/>
          <w:szCs w:val="22"/>
          <w:lang w:val="pt-BR" w:eastAsia="pt-BR" w:bidi="ar-SA"/>
        </w:rPr>
        <w:t>Gestor do Contrato</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Cabe ao gestor do contrato:</w:t>
      </w:r>
    </w:p>
    <w:p>
      <w:pPr>
        <w:pStyle w:val="Nvel02"/>
        <w:numPr>
          <w:ilvl w:val="2"/>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pPr>
        <w:pStyle w:val="Nvel02"/>
        <w:numPr>
          <w:ilvl w:val="2"/>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acompanhar os registros realizados pelos fiscais do contrato, de todas as ocorrências relacionadas à execução do contrato e as medidas adotadas, informando, se for o caso, à autoridade superior àquelas que ultrapassarem a sua competência.</w:t>
      </w:r>
    </w:p>
    <w:p>
      <w:pPr>
        <w:pStyle w:val="Nvel02"/>
        <w:numPr>
          <w:ilvl w:val="2"/>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acompanhar a manutenção das condições de habilitação da contratada, para fins de empenho de despesa e pagamento, e anotará os problemas que obstem o fluxo normal da liquidação e do pagamento da despesa no relatório de riscos eventuais.</w:t>
      </w:r>
    </w:p>
    <w:p>
      <w:pPr>
        <w:pStyle w:val="Nvel02"/>
        <w:numPr>
          <w:ilvl w:val="2"/>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pPr>
        <w:pStyle w:val="Nvel02"/>
        <w:numPr>
          <w:ilvl w:val="2"/>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pPr>
        <w:pStyle w:val="Nvel02"/>
        <w:numPr>
          <w:ilvl w:val="2"/>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elaborar relatório final com informações sobre a consecução dos objetivos que tenham justificado a contratação e eventuais condutas a serem adotadas para o aprimoramento das atividades da Administração.</w:t>
      </w:r>
    </w:p>
    <w:p>
      <w:pPr>
        <w:pStyle w:val="Nvel02"/>
        <w:numPr>
          <w:ilvl w:val="2"/>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enviar a documentação pertinente ao setor de contratos para a formalização dos procedimentos de liquidação e pagamento, no valor dimensionado pela fiscalização e gestão nos termos do contrato.</w:t>
      </w:r>
    </w:p>
    <w:p>
      <w:pPr>
        <w:pStyle w:val="Nivel01"/>
        <w:widowControl/>
        <w:numPr>
          <w:ilvl w:val="0"/>
          <w:numId w:val="1"/>
        </w:numPr>
        <w:suppressAutoHyphens w:val="true"/>
        <w:bidi w:val="0"/>
        <w:spacing w:lineRule="auto" w:line="276" w:before="0" w:after="0"/>
        <w:ind w:left="357" w:right="0" w:hanging="357"/>
        <w:contextualSpacing/>
        <w:jc w:val="left"/>
        <w:rPr>
          <w:rFonts w:ascii="Times New Roman" w:hAnsi="Times New Roman" w:eastAsia="Arial" w:cs="Arial"/>
          <w:i w:val="false"/>
          <w:i w:val="false"/>
          <w:iCs w:val="false"/>
          <w:color w:val="000000"/>
          <w:kern w:val="0"/>
          <w:sz w:val="22"/>
          <w:szCs w:val="22"/>
          <w:lang w:val="pt-BR" w:eastAsia="pt-BR" w:bidi="ar-SA"/>
        </w:rPr>
      </w:pPr>
      <w:bookmarkStart w:id="5" w:name="_Hlk114498479"/>
      <w:bookmarkStart w:id="6" w:name="_Hlk114498447"/>
      <w:bookmarkEnd w:id="5"/>
      <w:bookmarkEnd w:id="6"/>
      <w:r>
        <w:rPr>
          <w:rFonts w:eastAsia="Arial" w:cs="Arial"/>
          <w:b/>
          <w:bCs/>
          <w:i w:val="false"/>
          <w:iCs w:val="false"/>
          <w:color w:val="000000"/>
          <w:kern w:val="0"/>
          <w:sz w:val="22"/>
          <w:szCs w:val="22"/>
          <w:lang w:val="pt-BR" w:eastAsia="pt-BR" w:bidi="ar-SA"/>
        </w:rPr>
        <w:t>INFRAÇÕES E SANÇÕES ADMINISTRATIVAS</w:t>
      </w:r>
    </w:p>
    <w:p>
      <w:pPr>
        <w:pStyle w:val="Nvel02"/>
        <w:numPr>
          <w:ilvl w:val="1"/>
          <w:numId w:val="1"/>
        </w:numPr>
        <w:shd w:val="clear" w:fill="FFFFFF"/>
        <w:ind w:left="0" w:hanging="0"/>
        <w:rPr/>
      </w:pPr>
      <w:r>
        <w:rPr>
          <w:rStyle w:val="Normaltextrun"/>
          <w:rFonts w:ascii="Times New Roman" w:hAnsi="Times New Roman"/>
          <w:b w:val="false"/>
          <w:bCs w:val="false"/>
          <w:i w:val="false"/>
          <w:iCs w:val="false"/>
          <w:color w:val="000000"/>
          <w:sz w:val="22"/>
          <w:szCs w:val="22"/>
        </w:rPr>
        <w:t xml:space="preserve">Comete </w:t>
      </w:r>
      <w:r>
        <w:rPr>
          <w:rFonts w:ascii="Times New Roman" w:hAnsi="Times New Roman"/>
          <w:b w:val="false"/>
          <w:bCs w:val="false"/>
          <w:i w:val="false"/>
          <w:iCs w:val="false"/>
          <w:color w:val="000000"/>
          <w:sz w:val="22"/>
          <w:szCs w:val="22"/>
        </w:rPr>
        <w:t>infração</w:t>
      </w:r>
      <w:r>
        <w:rPr>
          <w:rStyle w:val="Normaltextrun"/>
          <w:rFonts w:ascii="Times New Roman" w:hAnsi="Times New Roman"/>
          <w:b w:val="false"/>
          <w:bCs w:val="false"/>
          <w:i w:val="false"/>
          <w:iCs w:val="false"/>
          <w:color w:val="000000"/>
          <w:sz w:val="22"/>
          <w:szCs w:val="22"/>
        </w:rPr>
        <w:t xml:space="preserve"> administrativa, nos termos da Lei nº 14.133, de 2021, o Contratado que:</w:t>
      </w:r>
    </w:p>
    <w:p>
      <w:pPr>
        <w:pStyle w:val="Paragraph"/>
        <w:numPr>
          <w:ilvl w:val="0"/>
          <w:numId w:val="2"/>
        </w:numPr>
        <w:spacing w:lineRule="auto" w:line="276" w:beforeAutospacing="0" w:before="120" w:afterAutospacing="0" w:after="0"/>
        <w:ind w:left="284" w:hanging="0"/>
        <w:jc w:val="both"/>
        <w:textAlignment w:val="baseline"/>
        <w:rPr/>
      </w:pPr>
      <w:r>
        <w:rPr>
          <w:rStyle w:val="Normaltextrun"/>
          <w:b w:val="false"/>
          <w:bCs w:val="false"/>
          <w:i w:val="false"/>
          <w:iCs w:val="false"/>
          <w:color w:val="000000"/>
          <w:sz w:val="22"/>
          <w:szCs w:val="22"/>
        </w:rPr>
        <w:t>der causa à inexecução parcial do contrato;</w:t>
      </w:r>
    </w:p>
    <w:p>
      <w:pPr>
        <w:pStyle w:val="Paragraph"/>
        <w:numPr>
          <w:ilvl w:val="0"/>
          <w:numId w:val="2"/>
        </w:numPr>
        <w:spacing w:lineRule="auto" w:line="276" w:beforeAutospacing="0" w:before="0" w:afterAutospacing="0" w:after="0"/>
        <w:ind w:left="284" w:hanging="0"/>
        <w:jc w:val="both"/>
        <w:textAlignment w:val="baseline"/>
        <w:rPr/>
      </w:pPr>
      <w:r>
        <w:rPr>
          <w:rStyle w:val="Normaltextrun"/>
          <w:b w:val="false"/>
          <w:bCs w:val="false"/>
          <w:i w:val="false"/>
          <w:iCs w:val="false"/>
          <w:color w:val="000000"/>
          <w:sz w:val="22"/>
          <w:szCs w:val="22"/>
        </w:rPr>
        <w:t>der causa à inexecução parcial do contrato que cause grave dano à Administração ou ao funcionamento dos serviços públicos ou ao interesse coletivo;</w:t>
      </w:r>
    </w:p>
    <w:p>
      <w:pPr>
        <w:pStyle w:val="Paragraph"/>
        <w:numPr>
          <w:ilvl w:val="0"/>
          <w:numId w:val="2"/>
        </w:numPr>
        <w:spacing w:lineRule="auto" w:line="276" w:beforeAutospacing="0" w:before="0" w:afterAutospacing="0" w:after="0"/>
        <w:ind w:left="284" w:hanging="0"/>
        <w:jc w:val="both"/>
        <w:textAlignment w:val="baseline"/>
        <w:rPr/>
      </w:pPr>
      <w:r>
        <w:rPr>
          <w:rStyle w:val="Normaltextrun"/>
          <w:b w:val="false"/>
          <w:bCs w:val="false"/>
          <w:i w:val="false"/>
          <w:iCs w:val="false"/>
          <w:color w:val="000000"/>
          <w:sz w:val="22"/>
          <w:szCs w:val="22"/>
        </w:rPr>
        <w:t>der causa à inexecução total do contrato;</w:t>
      </w:r>
    </w:p>
    <w:p>
      <w:pPr>
        <w:pStyle w:val="Paragraph"/>
        <w:numPr>
          <w:ilvl w:val="0"/>
          <w:numId w:val="2"/>
        </w:numPr>
        <w:spacing w:lineRule="auto" w:line="276" w:beforeAutospacing="0" w:before="0" w:afterAutospacing="0" w:after="0"/>
        <w:ind w:left="284" w:hanging="0"/>
        <w:jc w:val="both"/>
        <w:textAlignment w:val="baseline"/>
        <w:rPr/>
      </w:pPr>
      <w:r>
        <w:rPr>
          <w:rStyle w:val="Normaltextrun"/>
          <w:b w:val="false"/>
          <w:bCs w:val="false"/>
          <w:i w:val="false"/>
          <w:iCs w:val="false"/>
          <w:color w:val="000000"/>
          <w:sz w:val="22"/>
          <w:szCs w:val="22"/>
        </w:rPr>
        <w:t>ensejar o retardamento da execução ou da entrega do objeto da contratação sem motivo justificado;</w:t>
      </w:r>
    </w:p>
    <w:p>
      <w:pPr>
        <w:pStyle w:val="Paragraph"/>
        <w:numPr>
          <w:ilvl w:val="0"/>
          <w:numId w:val="2"/>
        </w:numPr>
        <w:spacing w:lineRule="auto" w:line="276" w:beforeAutospacing="0" w:before="0" w:afterAutospacing="0" w:after="0"/>
        <w:ind w:left="284" w:hanging="0"/>
        <w:jc w:val="both"/>
        <w:textAlignment w:val="baseline"/>
        <w:rPr/>
      </w:pPr>
      <w:r>
        <w:rPr>
          <w:rStyle w:val="Normaltextrun"/>
          <w:b w:val="false"/>
          <w:bCs w:val="false"/>
          <w:i w:val="false"/>
          <w:iCs w:val="false"/>
          <w:color w:val="000000"/>
          <w:sz w:val="22"/>
          <w:szCs w:val="22"/>
        </w:rPr>
        <w:t>apresentar documentação falsa ou prestar declaração falsa durante a execução do contrato;</w:t>
      </w:r>
    </w:p>
    <w:p>
      <w:pPr>
        <w:pStyle w:val="Paragraph"/>
        <w:numPr>
          <w:ilvl w:val="0"/>
          <w:numId w:val="2"/>
        </w:numPr>
        <w:spacing w:lineRule="auto" w:line="276" w:beforeAutospacing="0" w:before="0" w:afterAutospacing="0" w:after="0"/>
        <w:ind w:left="284" w:hanging="0"/>
        <w:jc w:val="both"/>
        <w:textAlignment w:val="baseline"/>
        <w:rPr/>
      </w:pPr>
      <w:r>
        <w:rPr>
          <w:rStyle w:val="Normaltextrun"/>
          <w:b w:val="false"/>
          <w:bCs w:val="false"/>
          <w:i w:val="false"/>
          <w:iCs w:val="false"/>
          <w:color w:val="000000"/>
          <w:sz w:val="22"/>
          <w:szCs w:val="22"/>
        </w:rPr>
        <w:t>praticar ato fraudulento na execução do contrato;</w:t>
      </w:r>
    </w:p>
    <w:p>
      <w:pPr>
        <w:pStyle w:val="Paragraph"/>
        <w:numPr>
          <w:ilvl w:val="0"/>
          <w:numId w:val="2"/>
        </w:numPr>
        <w:spacing w:lineRule="auto" w:line="276" w:beforeAutospacing="0" w:before="0" w:afterAutospacing="0" w:after="0"/>
        <w:ind w:left="284" w:hanging="0"/>
        <w:jc w:val="both"/>
        <w:textAlignment w:val="baseline"/>
        <w:rPr/>
      </w:pPr>
      <w:r>
        <w:rPr>
          <w:rStyle w:val="Normaltextrun"/>
          <w:b w:val="false"/>
          <w:bCs w:val="false"/>
          <w:i w:val="false"/>
          <w:iCs w:val="false"/>
          <w:color w:val="000000"/>
          <w:sz w:val="22"/>
          <w:szCs w:val="22"/>
        </w:rPr>
        <w:t>comportar-se de modo inidôneo ou cometer fraude de qualquer natureza;</w:t>
      </w:r>
    </w:p>
    <w:p>
      <w:pPr>
        <w:pStyle w:val="Paragraph"/>
        <w:numPr>
          <w:ilvl w:val="0"/>
          <w:numId w:val="2"/>
        </w:numPr>
        <w:spacing w:lineRule="auto" w:line="276" w:beforeAutospacing="0" w:before="0" w:afterAutospacing="0" w:after="0"/>
        <w:ind w:left="284" w:hanging="0"/>
        <w:jc w:val="both"/>
        <w:textAlignment w:val="baseline"/>
        <w:rPr/>
      </w:pPr>
      <w:r>
        <w:rPr>
          <w:rStyle w:val="Normaltextrun"/>
          <w:b w:val="false"/>
          <w:bCs w:val="false"/>
          <w:i w:val="false"/>
          <w:iCs w:val="false"/>
          <w:color w:val="000000"/>
          <w:sz w:val="22"/>
          <w:szCs w:val="22"/>
        </w:rPr>
        <w:t>praticar ato lesivo previsto no art. 5º da Lei nº 12.846, de 1º de agosto de 2013.</w:t>
      </w:r>
    </w:p>
    <w:p>
      <w:pPr>
        <w:pStyle w:val="Nvel02"/>
        <w:numPr>
          <w:ilvl w:val="1"/>
          <w:numId w:val="1"/>
        </w:numPr>
        <w:shd w:val="clear" w:fill="FFFFFF"/>
        <w:ind w:left="0" w:hanging="0"/>
        <w:rPr/>
      </w:pPr>
      <w:r>
        <w:rPr>
          <w:rStyle w:val="Normaltextrun"/>
          <w:rFonts w:ascii="Times New Roman" w:hAnsi="Times New Roman"/>
          <w:b w:val="false"/>
          <w:bCs w:val="false"/>
          <w:i w:val="false"/>
          <w:iCs w:val="false"/>
          <w:color w:val="000000"/>
          <w:sz w:val="22"/>
          <w:szCs w:val="22"/>
        </w:rPr>
        <w:t xml:space="preserve">Serão </w:t>
      </w:r>
      <w:r>
        <w:rPr>
          <w:rFonts w:ascii="Times New Roman" w:hAnsi="Times New Roman"/>
          <w:b w:val="false"/>
          <w:bCs w:val="false"/>
          <w:i w:val="false"/>
          <w:iCs w:val="false"/>
          <w:color w:val="000000"/>
          <w:sz w:val="22"/>
          <w:szCs w:val="22"/>
        </w:rPr>
        <w:t>aplicadas</w:t>
      </w:r>
      <w:r>
        <w:rPr>
          <w:rStyle w:val="Normaltextrun"/>
          <w:rFonts w:ascii="Times New Roman" w:hAnsi="Times New Roman"/>
          <w:b w:val="false"/>
          <w:bCs w:val="false"/>
          <w:i w:val="false"/>
          <w:iCs w:val="false"/>
          <w:color w:val="000000"/>
          <w:sz w:val="22"/>
          <w:szCs w:val="22"/>
        </w:rPr>
        <w:t xml:space="preserve"> ao Contratado que incorrer nas infrações acima descritas as seguintes sanções:</w:t>
      </w:r>
    </w:p>
    <w:p>
      <w:pPr>
        <w:pStyle w:val="Nvel02"/>
        <w:numPr>
          <w:ilvl w:val="2"/>
          <w:numId w:val="1"/>
        </w:numPr>
        <w:shd w:val="clear" w:fill="FFFFFF"/>
        <w:ind w:left="0" w:hanging="0"/>
        <w:rPr/>
      </w:pPr>
      <w:r>
        <w:rPr>
          <w:rStyle w:val="Normaltextrun"/>
          <w:rFonts w:ascii="Times New Roman" w:hAnsi="Times New Roman"/>
          <w:b w:val="false"/>
          <w:bCs w:val="false"/>
          <w:i w:val="false"/>
          <w:iCs w:val="false"/>
          <w:color w:val="000000"/>
          <w:sz w:val="22"/>
          <w:szCs w:val="22"/>
        </w:rPr>
        <w:t>Advertência, quando o Contratado der causa à inexecução parcial do contrato, sempre que não se justificar a imposição de penalidade mais grave;</w:t>
      </w:r>
    </w:p>
    <w:p>
      <w:pPr>
        <w:pStyle w:val="Nvel02"/>
        <w:numPr>
          <w:ilvl w:val="2"/>
          <w:numId w:val="1"/>
        </w:numPr>
        <w:shd w:val="clear" w:fill="FFFFFF"/>
        <w:ind w:left="0" w:hanging="0"/>
        <w:rPr/>
      </w:pPr>
      <w:r>
        <w:rPr>
          <w:rStyle w:val="Normaltextrun"/>
          <w:rFonts w:ascii="Times New Roman" w:hAnsi="Times New Roman"/>
          <w:b w:val="false"/>
          <w:bCs w:val="false"/>
          <w:i w:val="false"/>
          <w:iCs w:val="false"/>
          <w:color w:val="000000"/>
          <w:sz w:val="22"/>
          <w:szCs w:val="22"/>
        </w:rPr>
        <w:t>Impedimento de licitar e contratar, quando praticadas as condutas descritas nas alíneas “b”, “c” e “d” do subitem acima, sempre que não se justificar a imposição de penalidade mais grave;</w:t>
      </w:r>
    </w:p>
    <w:p>
      <w:pPr>
        <w:pStyle w:val="Nvel02"/>
        <w:numPr>
          <w:ilvl w:val="2"/>
          <w:numId w:val="1"/>
        </w:numPr>
        <w:shd w:val="clear" w:fill="FFFFFF"/>
        <w:ind w:left="0" w:hanging="0"/>
        <w:rPr/>
      </w:pPr>
      <w:r>
        <w:rPr>
          <w:rStyle w:val="Normaltextrun"/>
          <w:rFonts w:ascii="Times New Roman" w:hAnsi="Times New Roman"/>
          <w:b w:val="false"/>
          <w:bCs w:val="false"/>
          <w:i w:val="false"/>
          <w:iCs w:val="false"/>
          <w:color w:val="000000"/>
          <w:sz w:val="22"/>
          <w:szCs w:val="22"/>
        </w:rPr>
        <w:t>Declaração de inidoneidade para licitar e contratar, quando praticadas as condutas descritas nas alíneas “e”, “f”, “g” e “h” do subitem acima, bem como nas alíneas “b”, “c” e “d”, que justifiquem a imposição de penalidade mais grave.</w:t>
      </w:r>
    </w:p>
    <w:p>
      <w:pPr>
        <w:pStyle w:val="Nvel02"/>
        <w:numPr>
          <w:ilvl w:val="2"/>
          <w:numId w:val="1"/>
        </w:numPr>
        <w:shd w:val="clear" w:fill="FFFFFF"/>
        <w:ind w:left="0" w:hanging="0"/>
        <w:rPr/>
      </w:pPr>
      <w:commentRangeStart w:id="9"/>
      <w:r>
        <w:rPr>
          <w:rStyle w:val="Normaltextrun"/>
          <w:rFonts w:ascii="Times New Roman" w:hAnsi="Times New Roman"/>
          <w:b w:val="false"/>
          <w:bCs w:val="false"/>
          <w:i w:val="false"/>
          <w:iCs w:val="false"/>
          <w:color w:val="000000"/>
          <w:sz w:val="22"/>
          <w:szCs w:val="22"/>
        </w:rPr>
        <w:t>Multa</w:t>
      </w:r>
      <w:r>
        <w:rPr>
          <w:rStyle w:val="Normaltextrun"/>
          <w:rFonts w:cs="Arial" w:ascii="Times New Roman" w:hAnsi="Times New Roman"/>
          <w:b w:val="false"/>
          <w:bCs w:val="false"/>
          <w:i w:val="false"/>
          <w:iCs w:val="false"/>
          <w:color w:val="000000"/>
          <w:sz w:val="22"/>
          <w:szCs w:val="22"/>
        </w:rPr>
        <w:t>:</w:t>
      </w:r>
      <w:commentRangeEnd w:id="9"/>
      <w:r>
        <w:commentReference w:id="9"/>
      </w:r>
      <w:r>
        <w:rPr>
          <w:rStyle w:val="Normaltextrun"/>
          <w:rFonts w:cs="Arial" w:ascii="Times New Roman" w:hAnsi="Times New Roman"/>
          <w:b w:val="false"/>
          <w:bCs w:val="false"/>
          <w:i w:val="false"/>
          <w:iCs w:val="false"/>
          <w:color w:val="000000"/>
          <w:sz w:val="22"/>
          <w:szCs w:val="22"/>
        </w:rPr>
      </w:r>
    </w:p>
    <w:p>
      <w:pPr>
        <w:pStyle w:val="Nvel02"/>
        <w:numPr>
          <w:ilvl w:val="2"/>
          <w:numId w:val="1"/>
        </w:numPr>
        <w:shd w:val="clear" w:fill="FFFFFF"/>
        <w:ind w:left="0" w:hanging="0"/>
        <w:rPr/>
      </w:pPr>
      <w:r>
        <w:rPr>
          <w:rStyle w:val="Normaltextrun"/>
          <w:rFonts w:ascii="Times New Roman" w:hAnsi="Times New Roman"/>
          <w:b w:val="false"/>
          <w:bCs w:val="false"/>
          <w:i w:val="false"/>
          <w:iCs w:val="false"/>
          <w:color w:val="000000"/>
          <w:sz w:val="22"/>
          <w:szCs w:val="22"/>
        </w:rPr>
        <w:t xml:space="preserve">Moratória, para as infrações descritas no item “d”, de </w:t>
      </w:r>
      <w:r>
        <w:rPr>
          <w:rStyle w:val="Normaltextrun"/>
          <w:rFonts w:ascii="Times New Roman" w:hAnsi="Times New Roman"/>
          <w:b/>
          <w:bCs/>
          <w:i w:val="false"/>
          <w:iCs w:val="false"/>
          <w:color w:val="000000"/>
          <w:sz w:val="22"/>
          <w:szCs w:val="22"/>
        </w:rPr>
        <w:t>0,07%</w:t>
      </w:r>
      <w:r>
        <w:rPr>
          <w:rStyle w:val="Normaltextrun"/>
          <w:rFonts w:ascii="Times New Roman" w:hAnsi="Times New Roman"/>
          <w:b w:val="false"/>
          <w:bCs w:val="false"/>
          <w:i w:val="false"/>
          <w:iCs w:val="false"/>
          <w:color w:val="000000"/>
          <w:sz w:val="22"/>
          <w:szCs w:val="22"/>
        </w:rPr>
        <w:t xml:space="preserve"> (sete centésimos por cento)  por dia de atraso injustificado sobre o valor da parcela inadimplida, até o limite de </w:t>
      </w:r>
      <w:r>
        <w:rPr>
          <w:rStyle w:val="Normaltextrun"/>
          <w:rFonts w:ascii="Times New Roman" w:hAnsi="Times New Roman"/>
          <w:b/>
          <w:bCs/>
          <w:i w:val="false"/>
          <w:iCs w:val="false"/>
          <w:color w:val="000000"/>
          <w:sz w:val="22"/>
          <w:szCs w:val="22"/>
        </w:rPr>
        <w:t>2%</w:t>
      </w:r>
      <w:r>
        <w:rPr>
          <w:rStyle w:val="Normaltextrun"/>
          <w:rFonts w:ascii="Times New Roman" w:hAnsi="Times New Roman"/>
          <w:b w:val="false"/>
          <w:bCs w:val="false"/>
          <w:i w:val="false"/>
          <w:iCs w:val="false"/>
          <w:color w:val="000000"/>
          <w:sz w:val="22"/>
          <w:szCs w:val="22"/>
        </w:rPr>
        <w:t xml:space="preserve"> (dois por cento) dias.</w:t>
      </w:r>
    </w:p>
    <w:p>
      <w:pPr>
        <w:pStyle w:val="Nvel02"/>
        <w:numPr>
          <w:ilvl w:val="2"/>
          <w:numId w:val="1"/>
        </w:numPr>
        <w:shd w:val="clear" w:fill="FFFFFF"/>
        <w:ind w:left="0" w:hanging="0"/>
        <w:rPr/>
      </w:pPr>
      <w:r>
        <w:rPr>
          <w:rStyle w:val="Normaltextrun"/>
          <w:rFonts w:ascii="Times New Roman" w:hAnsi="Times New Roman"/>
          <w:b w:val="false"/>
          <w:bCs w:val="false"/>
          <w:i w:val="false"/>
          <w:iCs w:val="false"/>
          <w:color w:val="000000"/>
          <w:sz w:val="22"/>
          <w:szCs w:val="22"/>
        </w:rPr>
        <w:t xml:space="preserve">Moratória de </w:t>
      </w:r>
      <w:r>
        <w:rPr>
          <w:rStyle w:val="Normaltextrun"/>
          <w:rFonts w:ascii="Times New Roman" w:hAnsi="Times New Roman"/>
          <w:b/>
          <w:bCs/>
          <w:i w:val="false"/>
          <w:iCs w:val="false"/>
          <w:color w:val="000000"/>
          <w:sz w:val="22"/>
          <w:szCs w:val="22"/>
        </w:rPr>
        <w:t>0,01%</w:t>
      </w:r>
      <w:r>
        <w:rPr>
          <w:rStyle w:val="Normaltextrun"/>
          <w:rFonts w:ascii="Times New Roman" w:hAnsi="Times New Roman"/>
          <w:b w:val="false"/>
          <w:bCs w:val="false"/>
          <w:i w:val="false"/>
          <w:iCs w:val="false"/>
          <w:color w:val="000000"/>
          <w:sz w:val="22"/>
          <w:szCs w:val="22"/>
        </w:rPr>
        <w:t xml:space="preserve"> (um d</w:t>
      </w:r>
      <w:r>
        <w:rPr>
          <w:rStyle w:val="Normaltextrun"/>
          <w:rFonts w:eastAsia="" w:cs="Arial" w:ascii="Times New Roman" w:hAnsi="Times New Roman"/>
          <w:b w:val="false"/>
          <w:bCs w:val="false"/>
          <w:i w:val="false"/>
          <w:iCs w:val="false"/>
          <w:color w:val="000000"/>
          <w:kern w:val="0"/>
          <w:sz w:val="22"/>
          <w:szCs w:val="22"/>
          <w:lang w:val="pt-BR" w:eastAsia="pt-BR" w:bidi="ar-SA"/>
        </w:rPr>
        <w:t>écimo</w:t>
      </w:r>
      <w:r>
        <w:rPr>
          <w:rStyle w:val="Normaltextrun"/>
          <w:rFonts w:ascii="Times New Roman" w:hAnsi="Times New Roman"/>
          <w:b w:val="false"/>
          <w:bCs w:val="false"/>
          <w:i w:val="false"/>
          <w:iCs w:val="false"/>
          <w:color w:val="000000"/>
          <w:sz w:val="22"/>
          <w:szCs w:val="22"/>
        </w:rPr>
        <w:t xml:space="preserve"> por cento) por dia de atraso injustificado sobre o valor total do contrato, até o máximo de </w:t>
      </w:r>
      <w:r>
        <w:rPr>
          <w:rStyle w:val="Normaltextrun"/>
          <w:rFonts w:ascii="Times New Roman" w:hAnsi="Times New Roman"/>
          <w:b/>
          <w:bCs/>
          <w:i w:val="false"/>
          <w:iCs w:val="false"/>
          <w:color w:val="000000"/>
          <w:sz w:val="22"/>
          <w:szCs w:val="22"/>
        </w:rPr>
        <w:t>10%</w:t>
      </w:r>
      <w:r>
        <w:rPr>
          <w:rStyle w:val="Normaltextrun"/>
          <w:rFonts w:ascii="Times New Roman" w:hAnsi="Times New Roman"/>
          <w:b w:val="false"/>
          <w:bCs w:val="false"/>
          <w:i w:val="false"/>
          <w:iCs w:val="false"/>
          <w:color w:val="000000"/>
          <w:sz w:val="22"/>
          <w:szCs w:val="22"/>
        </w:rPr>
        <w:t xml:space="preserve"> (dez por cento), pela inobservância do prazo fixado para apresentação, suplementação ou reposição da garantia;</w:t>
      </w:r>
      <w:r>
        <w:rPr/>
        <w:commentReference w:id="10"/>
      </w:r>
    </w:p>
    <w:p>
      <w:pPr>
        <w:pStyle w:val="Nvel02"/>
        <w:numPr>
          <w:ilvl w:val="2"/>
          <w:numId w:val="1"/>
        </w:numPr>
        <w:shd w:val="clear" w:fill="FFFFFF"/>
        <w:ind w:left="0" w:hanging="0"/>
        <w:rPr/>
      </w:pPr>
      <w:r>
        <w:rPr>
          <w:rFonts w:ascii="Times New Roman" w:hAnsi="Times New Roman"/>
          <w:b w:val="false"/>
          <w:bCs w:val="false"/>
          <w:i w:val="false"/>
          <w:iCs w:val="false"/>
          <w:color w:val="000000"/>
          <w:sz w:val="22"/>
          <w:szCs w:val="22"/>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pPr>
        <w:pStyle w:val="Nvel02"/>
        <w:numPr>
          <w:ilvl w:val="2"/>
          <w:numId w:val="1"/>
        </w:numPr>
        <w:shd w:val="clear" w:fill="FFFFFF"/>
        <w:ind w:left="0" w:hanging="0"/>
        <w:rPr/>
      </w:pPr>
      <w:r>
        <w:rPr>
          <w:rStyle w:val="Normaltextrun"/>
          <w:rFonts w:ascii="Times New Roman" w:hAnsi="Times New Roman"/>
          <w:b w:val="false"/>
          <w:bCs w:val="false"/>
          <w:i w:val="false"/>
          <w:iCs w:val="false"/>
          <w:color w:val="000000"/>
          <w:sz w:val="22"/>
          <w:szCs w:val="22"/>
        </w:rPr>
        <w:t xml:space="preserve">Compensatória, para as infrações descritas acima alíneas “e” a “h” de </w:t>
      </w:r>
      <w:r>
        <w:rPr>
          <w:rStyle w:val="Normaltextrun"/>
          <w:rFonts w:ascii="Times New Roman" w:hAnsi="Times New Roman"/>
          <w:b/>
          <w:bCs/>
          <w:i w:val="false"/>
          <w:iCs w:val="false"/>
          <w:color w:val="000000"/>
          <w:sz w:val="22"/>
          <w:szCs w:val="22"/>
        </w:rPr>
        <w:t>5%</w:t>
      </w:r>
      <w:r>
        <w:rPr>
          <w:rStyle w:val="Normaltextrun"/>
          <w:rFonts w:ascii="Times New Roman" w:hAnsi="Times New Roman"/>
          <w:b w:val="false"/>
          <w:bCs w:val="false"/>
          <w:i w:val="false"/>
          <w:iCs w:val="false"/>
          <w:color w:val="000000"/>
          <w:sz w:val="22"/>
          <w:szCs w:val="22"/>
        </w:rPr>
        <w:t xml:space="preserve"> (cinco por cento) a </w:t>
      </w:r>
      <w:r>
        <w:rPr>
          <w:rStyle w:val="Normaltextrun"/>
          <w:rFonts w:ascii="Times New Roman" w:hAnsi="Times New Roman"/>
          <w:b/>
          <w:bCs/>
          <w:i w:val="false"/>
          <w:iCs w:val="false"/>
          <w:color w:val="000000"/>
          <w:sz w:val="22"/>
          <w:szCs w:val="22"/>
        </w:rPr>
        <w:t>20%</w:t>
      </w:r>
      <w:r>
        <w:rPr>
          <w:rStyle w:val="Normaltextrun"/>
          <w:rFonts w:ascii="Times New Roman" w:hAnsi="Times New Roman"/>
          <w:b w:val="false"/>
          <w:bCs w:val="false"/>
          <w:i w:val="false"/>
          <w:iCs w:val="false"/>
          <w:color w:val="000000"/>
          <w:sz w:val="22"/>
          <w:szCs w:val="22"/>
        </w:rPr>
        <w:t xml:space="preserve"> (vinte por cento) do valor da contratação.</w:t>
      </w:r>
    </w:p>
    <w:p>
      <w:pPr>
        <w:pStyle w:val="Nvel02"/>
        <w:numPr>
          <w:ilvl w:val="2"/>
          <w:numId w:val="1"/>
        </w:numPr>
        <w:shd w:val="clear" w:fill="FFFFFF"/>
        <w:ind w:left="0" w:hanging="0"/>
        <w:rPr/>
      </w:pPr>
      <w:r>
        <w:rPr>
          <w:rStyle w:val="Normaltextrun"/>
          <w:rFonts w:ascii="Times New Roman" w:hAnsi="Times New Roman"/>
          <w:b w:val="false"/>
          <w:bCs w:val="false"/>
          <w:i w:val="false"/>
          <w:iCs w:val="false"/>
          <w:color w:val="000000"/>
          <w:sz w:val="22"/>
          <w:szCs w:val="22"/>
        </w:rPr>
        <w:t>Compensatória, para a inexecução total do contrato prevista acima na alínea “c”, de 5% (cinco por cento) a 20% (vinte por cento) do valor da contratação.</w:t>
      </w:r>
    </w:p>
    <w:p>
      <w:pPr>
        <w:pStyle w:val="Nvel02"/>
        <w:numPr>
          <w:ilvl w:val="2"/>
          <w:numId w:val="1"/>
        </w:numPr>
        <w:shd w:val="clear" w:fill="FFFFFF"/>
        <w:ind w:left="0" w:hanging="0"/>
        <w:rPr/>
      </w:pPr>
      <w:r>
        <w:rPr>
          <w:rStyle w:val="Normaltextrun"/>
          <w:rFonts w:ascii="Times New Roman" w:hAnsi="Times New Roman"/>
          <w:b w:val="false"/>
          <w:bCs w:val="false"/>
          <w:i w:val="false"/>
          <w:iCs w:val="false"/>
          <w:color w:val="000000"/>
          <w:sz w:val="22"/>
          <w:szCs w:val="22"/>
        </w:rPr>
        <w:t xml:space="preserve">Compensatória, para a infração descrita acima na alínea “b”, de </w:t>
      </w:r>
      <w:r>
        <w:rPr>
          <w:rStyle w:val="Normaltextrun"/>
          <w:rFonts w:ascii="Times New Roman" w:hAnsi="Times New Roman"/>
          <w:b/>
          <w:bCs/>
          <w:i w:val="false"/>
          <w:iCs w:val="false"/>
          <w:color w:val="000000"/>
          <w:sz w:val="22"/>
          <w:szCs w:val="22"/>
        </w:rPr>
        <w:t>5%</w:t>
      </w:r>
      <w:r>
        <w:rPr>
          <w:rStyle w:val="Normaltextrun"/>
          <w:rFonts w:ascii="Times New Roman" w:hAnsi="Times New Roman"/>
          <w:b w:val="false"/>
          <w:bCs w:val="false"/>
          <w:i w:val="false"/>
          <w:iCs w:val="false"/>
          <w:color w:val="000000"/>
          <w:sz w:val="22"/>
          <w:szCs w:val="22"/>
        </w:rPr>
        <w:t xml:space="preserve"> (cinco por cento) a </w:t>
      </w:r>
      <w:r>
        <w:rPr>
          <w:rStyle w:val="Normaltextrun"/>
          <w:rFonts w:ascii="Times New Roman" w:hAnsi="Times New Roman"/>
          <w:b/>
          <w:bCs/>
          <w:i w:val="false"/>
          <w:iCs w:val="false"/>
          <w:color w:val="000000"/>
          <w:sz w:val="22"/>
          <w:szCs w:val="22"/>
        </w:rPr>
        <w:t>20%</w:t>
      </w:r>
      <w:r>
        <w:rPr>
          <w:rStyle w:val="Normaltextrun"/>
          <w:rFonts w:ascii="Times New Roman" w:hAnsi="Times New Roman"/>
          <w:b w:val="false"/>
          <w:bCs w:val="false"/>
          <w:i w:val="false"/>
          <w:iCs w:val="false"/>
          <w:color w:val="000000"/>
          <w:sz w:val="22"/>
          <w:szCs w:val="22"/>
        </w:rPr>
        <w:t xml:space="preserve"> (vinte por cento) do valor da contratação.</w:t>
      </w:r>
    </w:p>
    <w:p>
      <w:pPr>
        <w:pStyle w:val="Nvel02"/>
        <w:numPr>
          <w:ilvl w:val="2"/>
          <w:numId w:val="1"/>
        </w:numPr>
        <w:shd w:val="clear" w:fill="FFFFFF"/>
        <w:ind w:left="0" w:hanging="0"/>
        <w:rPr/>
      </w:pPr>
      <w:bookmarkStart w:id="7" w:name="_Hlk175669195"/>
      <w:r>
        <w:rPr>
          <w:rStyle w:val="Normaltextrun"/>
          <w:rFonts w:ascii="Times New Roman" w:hAnsi="Times New Roman"/>
          <w:b w:val="false"/>
          <w:bCs w:val="false"/>
          <w:i w:val="false"/>
          <w:iCs w:val="false"/>
          <w:color w:val="000000"/>
          <w:sz w:val="22"/>
          <w:szCs w:val="22"/>
        </w:rPr>
        <w:t xml:space="preserve">Compensatória, em substituição à multa moratória para a infração descrita acima na alínea “d”, de </w:t>
      </w:r>
      <w:r>
        <w:rPr>
          <w:rStyle w:val="Normaltextrun"/>
          <w:rFonts w:ascii="Times New Roman" w:hAnsi="Times New Roman"/>
          <w:b/>
          <w:bCs/>
          <w:i w:val="false"/>
          <w:iCs w:val="false"/>
          <w:color w:val="000000"/>
          <w:sz w:val="22"/>
          <w:szCs w:val="22"/>
        </w:rPr>
        <w:t>5%</w:t>
      </w:r>
      <w:r>
        <w:rPr>
          <w:rStyle w:val="Normaltextrun"/>
          <w:rFonts w:ascii="Times New Roman" w:hAnsi="Times New Roman"/>
          <w:b w:val="false"/>
          <w:bCs w:val="false"/>
          <w:i w:val="false"/>
          <w:iCs w:val="false"/>
          <w:color w:val="000000"/>
          <w:sz w:val="22"/>
          <w:szCs w:val="22"/>
        </w:rPr>
        <w:t xml:space="preserve"> (cinco por cento) a </w:t>
      </w:r>
      <w:r>
        <w:rPr>
          <w:rStyle w:val="Normaltextrun"/>
          <w:rFonts w:ascii="Times New Roman" w:hAnsi="Times New Roman"/>
          <w:b/>
          <w:bCs/>
          <w:i w:val="false"/>
          <w:iCs w:val="false"/>
          <w:color w:val="000000"/>
          <w:sz w:val="22"/>
          <w:szCs w:val="22"/>
        </w:rPr>
        <w:t>20%</w:t>
      </w:r>
      <w:r>
        <w:rPr>
          <w:rStyle w:val="Normaltextrun"/>
          <w:rFonts w:ascii="Times New Roman" w:hAnsi="Times New Roman"/>
          <w:b w:val="false"/>
          <w:bCs w:val="false"/>
          <w:i w:val="false"/>
          <w:iCs w:val="false"/>
          <w:color w:val="000000"/>
          <w:sz w:val="22"/>
          <w:szCs w:val="22"/>
        </w:rPr>
        <w:t xml:space="preserve"> (vinte por cento) do valor da contratação.</w:t>
      </w:r>
      <w:bookmarkEnd w:id="7"/>
    </w:p>
    <w:p>
      <w:pPr>
        <w:pStyle w:val="Nvel02"/>
        <w:numPr>
          <w:ilvl w:val="2"/>
          <w:numId w:val="1"/>
        </w:numPr>
        <w:shd w:val="clear" w:fill="FFFFFF"/>
        <w:ind w:left="0" w:hanging="0"/>
        <w:rPr/>
      </w:pPr>
      <w:r>
        <w:rPr>
          <w:rStyle w:val="Normaltextrun"/>
          <w:rFonts w:ascii="Times New Roman" w:hAnsi="Times New Roman"/>
          <w:b w:val="false"/>
          <w:bCs w:val="false"/>
          <w:i w:val="false"/>
          <w:iCs w:val="false"/>
          <w:color w:val="000000"/>
          <w:sz w:val="22"/>
          <w:szCs w:val="22"/>
        </w:rPr>
        <w:t xml:space="preserve">Compensatória, para a infração descrita acima na alínea “a”, de </w:t>
      </w:r>
      <w:r>
        <w:rPr>
          <w:rStyle w:val="Normaltextrun"/>
          <w:rFonts w:ascii="Times New Roman" w:hAnsi="Times New Roman"/>
          <w:b/>
          <w:bCs/>
          <w:i w:val="false"/>
          <w:iCs w:val="false"/>
          <w:color w:val="000000"/>
          <w:sz w:val="22"/>
          <w:szCs w:val="22"/>
        </w:rPr>
        <w:t>5%</w:t>
      </w:r>
      <w:r>
        <w:rPr>
          <w:rStyle w:val="Normaltextrun"/>
          <w:rFonts w:ascii="Times New Roman" w:hAnsi="Times New Roman"/>
          <w:b w:val="false"/>
          <w:bCs w:val="false"/>
          <w:i w:val="false"/>
          <w:iCs w:val="false"/>
          <w:color w:val="000000"/>
          <w:sz w:val="22"/>
          <w:szCs w:val="22"/>
        </w:rPr>
        <w:t xml:space="preserve"> (cinco por cento) a </w:t>
      </w:r>
      <w:r>
        <w:rPr>
          <w:rStyle w:val="Normaltextrun"/>
          <w:rFonts w:ascii="Times New Roman" w:hAnsi="Times New Roman"/>
          <w:b/>
          <w:bCs/>
          <w:i w:val="false"/>
          <w:iCs w:val="false"/>
          <w:color w:val="000000"/>
          <w:sz w:val="22"/>
          <w:szCs w:val="22"/>
        </w:rPr>
        <w:t>20%</w:t>
      </w:r>
      <w:r>
        <w:rPr>
          <w:rStyle w:val="Normaltextrun"/>
          <w:rFonts w:ascii="Times New Roman" w:hAnsi="Times New Roman"/>
          <w:b w:val="false"/>
          <w:bCs w:val="false"/>
          <w:i w:val="false"/>
          <w:iCs w:val="false"/>
          <w:color w:val="000000"/>
          <w:sz w:val="22"/>
          <w:szCs w:val="22"/>
        </w:rPr>
        <w:t xml:space="preserve"> (vinte por cento) do valor da contratação.</w:t>
      </w:r>
    </w:p>
    <w:p>
      <w:pPr>
        <w:pStyle w:val="Nvel02"/>
        <w:numPr>
          <w:ilvl w:val="2"/>
          <w:numId w:val="1"/>
        </w:numPr>
        <w:shd w:val="clear" w:fill="FFFFFF"/>
        <w:ind w:left="0" w:hanging="0"/>
        <w:rPr/>
      </w:pPr>
      <w:r>
        <w:rPr>
          <w:rStyle w:val="Normaltextrun"/>
          <w:rFonts w:ascii="Times New Roman" w:hAnsi="Times New Roman"/>
          <w:b w:val="false"/>
          <w:bCs w:val="false"/>
          <w:i w:val="false"/>
          <w:iCs w:val="false"/>
          <w:color w:val="000000"/>
          <w:sz w:val="22"/>
          <w:szCs w:val="22"/>
        </w:rPr>
        <w:t xml:space="preserve">A aplicação das sanções previstas </w:t>
      </w:r>
      <w:bookmarkStart w:id="8" w:name="_Hlk170830409"/>
      <w:r>
        <w:rPr>
          <w:rStyle w:val="Normaltextrun"/>
          <w:rFonts w:ascii="Times New Roman" w:hAnsi="Times New Roman"/>
          <w:b w:val="false"/>
          <w:bCs w:val="false"/>
          <w:i w:val="false"/>
          <w:iCs w:val="false"/>
          <w:color w:val="000000"/>
          <w:sz w:val="22"/>
          <w:szCs w:val="22"/>
        </w:rPr>
        <w:t xml:space="preserve">neste </w:t>
      </w:r>
      <w:r>
        <w:rPr>
          <w:rFonts w:ascii="Times New Roman" w:hAnsi="Times New Roman"/>
          <w:b w:val="false"/>
          <w:bCs w:val="false"/>
          <w:i w:val="false"/>
          <w:iCs w:val="false"/>
          <w:color w:val="000000"/>
          <w:sz w:val="22"/>
          <w:szCs w:val="22"/>
        </w:rPr>
        <w:t xml:space="preserve">Termo de Referência </w:t>
      </w:r>
      <w:bookmarkEnd w:id="8"/>
      <w:r>
        <w:rPr>
          <w:rStyle w:val="Normaltextrun"/>
          <w:rFonts w:ascii="Times New Roman" w:hAnsi="Times New Roman"/>
          <w:b w:val="false"/>
          <w:bCs w:val="false"/>
          <w:i w:val="false"/>
          <w:iCs w:val="false"/>
          <w:color w:val="000000"/>
          <w:sz w:val="22"/>
          <w:szCs w:val="22"/>
        </w:rPr>
        <w:t>não exclui, em hipótese alguma, a obrigação de reparação integral do dano causado ao Contratante.</w:t>
      </w:r>
    </w:p>
    <w:p>
      <w:pPr>
        <w:pStyle w:val="Nvel02"/>
        <w:numPr>
          <w:ilvl w:val="2"/>
          <w:numId w:val="1"/>
        </w:numPr>
        <w:shd w:val="clear" w:fill="FFFFFF"/>
        <w:ind w:left="0" w:hanging="0"/>
        <w:rPr/>
      </w:pPr>
      <w:r>
        <w:rPr>
          <w:rStyle w:val="Normaltextrun"/>
          <w:rFonts w:ascii="Times New Roman" w:hAnsi="Times New Roman"/>
          <w:b w:val="false"/>
          <w:bCs w:val="false"/>
          <w:i w:val="false"/>
          <w:iCs w:val="false"/>
          <w:color w:val="000000"/>
          <w:sz w:val="22"/>
          <w:szCs w:val="22"/>
        </w:rPr>
        <w:t xml:space="preserve">Todas as sanções previstas neste </w:t>
      </w:r>
      <w:r>
        <w:rPr>
          <w:rFonts w:ascii="Times New Roman" w:hAnsi="Times New Roman"/>
          <w:b w:val="false"/>
          <w:bCs w:val="false"/>
          <w:i w:val="false"/>
          <w:iCs w:val="false"/>
          <w:color w:val="000000"/>
          <w:sz w:val="22"/>
          <w:szCs w:val="22"/>
        </w:rPr>
        <w:t>Termo de Referência</w:t>
      </w:r>
      <w:r>
        <w:rPr>
          <w:rStyle w:val="Normaltextrun"/>
          <w:rFonts w:ascii="Times New Roman" w:hAnsi="Times New Roman"/>
          <w:b w:val="false"/>
          <w:bCs w:val="false"/>
          <w:i w:val="false"/>
          <w:iCs w:val="false"/>
          <w:color w:val="000000"/>
          <w:sz w:val="22"/>
          <w:szCs w:val="22"/>
        </w:rPr>
        <w:t xml:space="preserve"> poderão ser aplicadas cumulativamente com a multa.</w:t>
      </w:r>
    </w:p>
    <w:p>
      <w:pPr>
        <w:pStyle w:val="Nvel02"/>
        <w:numPr>
          <w:ilvl w:val="2"/>
          <w:numId w:val="1"/>
        </w:numPr>
        <w:shd w:val="clear" w:fill="FFFFFF"/>
        <w:ind w:left="0" w:hanging="0"/>
        <w:rPr/>
      </w:pPr>
      <w:r>
        <w:rPr>
          <w:rFonts w:ascii="Times New Roman" w:hAnsi="Times New Roman"/>
          <w:b w:val="false"/>
          <w:bCs w:val="false"/>
          <w:i w:val="false"/>
          <w:iCs w:val="false"/>
          <w:color w:val="000000"/>
          <w:sz w:val="22"/>
          <w:szCs w:val="22"/>
        </w:rPr>
        <w:t xml:space="preserve">Antes da aplicação da </w:t>
      </w:r>
      <w:r>
        <w:rPr>
          <w:rStyle w:val="Normaltextrun"/>
          <w:rFonts w:ascii="Times New Roman" w:hAnsi="Times New Roman"/>
          <w:b w:val="false"/>
          <w:bCs w:val="false"/>
          <w:i w:val="false"/>
          <w:iCs w:val="false"/>
          <w:color w:val="000000"/>
          <w:sz w:val="22"/>
          <w:szCs w:val="22"/>
        </w:rPr>
        <w:t>multa</w:t>
      </w:r>
      <w:r>
        <w:rPr>
          <w:rFonts w:ascii="Times New Roman" w:hAnsi="Times New Roman"/>
          <w:b w:val="false"/>
          <w:bCs w:val="false"/>
          <w:i w:val="false"/>
          <w:iCs w:val="false"/>
          <w:color w:val="000000"/>
          <w:sz w:val="22"/>
          <w:szCs w:val="22"/>
        </w:rPr>
        <w:t xml:space="preserve"> será facultada a defesa do interessado no prazo de </w:t>
      </w:r>
      <w:r>
        <w:rPr>
          <w:rFonts w:ascii="Times New Roman" w:hAnsi="Times New Roman"/>
          <w:b/>
          <w:bCs/>
          <w:i w:val="false"/>
          <w:iCs w:val="false"/>
          <w:color w:val="000000"/>
          <w:sz w:val="22"/>
          <w:szCs w:val="22"/>
        </w:rPr>
        <w:t>15 (quinze) dias úteis</w:t>
      </w:r>
      <w:r>
        <w:rPr>
          <w:rFonts w:ascii="Times New Roman" w:hAnsi="Times New Roman"/>
          <w:b w:val="false"/>
          <w:bCs w:val="false"/>
          <w:i w:val="false"/>
          <w:iCs w:val="false"/>
          <w:color w:val="000000"/>
          <w:sz w:val="22"/>
          <w:szCs w:val="22"/>
        </w:rPr>
        <w:t>, contado da data de sua intimação</w:t>
      </w:r>
      <w:r>
        <w:rPr>
          <w:rStyle w:val="Normaltextrun"/>
          <w:rFonts w:ascii="Times New Roman" w:hAnsi="Times New Roman"/>
          <w:b w:val="false"/>
          <w:bCs w:val="false"/>
          <w:i w:val="false"/>
          <w:iCs w:val="false"/>
          <w:color w:val="000000"/>
          <w:sz w:val="22"/>
          <w:szCs w:val="22"/>
        </w:rPr>
        <w:t>.</w:t>
      </w:r>
    </w:p>
    <w:p>
      <w:pPr>
        <w:pStyle w:val="Nvel02"/>
        <w:numPr>
          <w:ilvl w:val="2"/>
          <w:numId w:val="1"/>
        </w:numPr>
        <w:shd w:val="clear" w:fill="FFFFFF"/>
        <w:ind w:left="0" w:hanging="0"/>
        <w:rPr/>
      </w:pPr>
      <w:r>
        <w:rPr>
          <w:rStyle w:val="Normaltextrun"/>
          <w:rFonts w:ascii="Times New Roman" w:hAnsi="Times New Roman"/>
          <w:b w:val="false"/>
          <w:bCs w:val="false"/>
          <w:i w:val="false"/>
          <w:iCs w:val="false"/>
          <w:color w:val="000000"/>
          <w:sz w:val="22"/>
          <w:szCs w:val="22"/>
        </w:rPr>
        <w:t xml:space="preserve">Se a multa aplicada e as indenizações cabíveis forem superiores ao valor do pagamento </w:t>
      </w:r>
      <w:r>
        <w:rPr>
          <w:rFonts w:ascii="Times New Roman" w:hAnsi="Times New Roman"/>
          <w:b w:val="false"/>
          <w:bCs w:val="false"/>
          <w:i w:val="false"/>
          <w:iCs w:val="false"/>
          <w:color w:val="000000"/>
          <w:sz w:val="22"/>
          <w:szCs w:val="22"/>
        </w:rPr>
        <w:t>eventualmente</w:t>
      </w:r>
      <w:r>
        <w:rPr>
          <w:rStyle w:val="Normaltextrun"/>
          <w:rFonts w:ascii="Times New Roman" w:hAnsi="Times New Roman"/>
          <w:b w:val="false"/>
          <w:bCs w:val="false"/>
          <w:i w:val="false"/>
          <w:iCs w:val="false"/>
          <w:color w:val="000000"/>
          <w:sz w:val="22"/>
          <w:szCs w:val="22"/>
        </w:rPr>
        <w:t xml:space="preserve"> devido pelo Contratante ao Contratado, além da perda desse valor, a diferença será descontada da garantia prestada ou será cobrada judicialmente.</w:t>
      </w:r>
    </w:p>
    <w:p>
      <w:pPr>
        <w:pStyle w:val="Nvel02"/>
        <w:numPr>
          <w:ilvl w:val="2"/>
          <w:numId w:val="1"/>
        </w:numPr>
        <w:shd w:val="clear" w:fill="FFFFFF"/>
        <w:ind w:left="0" w:hanging="0"/>
        <w:rPr/>
      </w:pPr>
      <w:r>
        <w:rPr>
          <w:rStyle w:val="Normaltextrun"/>
          <w:rFonts w:ascii="Times New Roman" w:hAnsi="Times New Roman"/>
          <w:b w:val="false"/>
          <w:bCs w:val="false"/>
          <w:i w:val="false"/>
          <w:iCs w:val="false"/>
          <w:color w:val="000000"/>
          <w:sz w:val="22"/>
          <w:szCs w:val="22"/>
        </w:rPr>
        <w:t xml:space="preserve">A multa poderá ser recolhida </w:t>
      </w:r>
      <w:r>
        <w:rPr>
          <w:rFonts w:ascii="Times New Roman" w:hAnsi="Times New Roman"/>
          <w:b w:val="false"/>
          <w:bCs w:val="false"/>
          <w:i w:val="false"/>
          <w:iCs w:val="false"/>
          <w:color w:val="000000"/>
          <w:sz w:val="22"/>
          <w:szCs w:val="22"/>
        </w:rPr>
        <w:t>administrativamente</w:t>
      </w:r>
      <w:r>
        <w:rPr>
          <w:rStyle w:val="Normaltextrun"/>
          <w:rFonts w:ascii="Times New Roman" w:hAnsi="Times New Roman"/>
          <w:b w:val="false"/>
          <w:bCs w:val="false"/>
          <w:i w:val="false"/>
          <w:iCs w:val="false"/>
          <w:color w:val="000000"/>
          <w:sz w:val="22"/>
          <w:szCs w:val="22"/>
        </w:rPr>
        <w:t xml:space="preserve"> no prazo máximo de </w:t>
      </w:r>
      <w:r>
        <w:rPr>
          <w:rStyle w:val="Normaltextrun"/>
          <w:rFonts w:ascii="Times New Roman" w:hAnsi="Times New Roman"/>
          <w:b/>
          <w:bCs/>
          <w:i w:val="false"/>
          <w:iCs w:val="false"/>
          <w:color w:val="000000"/>
          <w:sz w:val="22"/>
          <w:szCs w:val="22"/>
        </w:rPr>
        <w:t>10 (dez) dias</w:t>
      </w:r>
      <w:r>
        <w:rPr>
          <w:rStyle w:val="Normaltextrun"/>
          <w:rFonts w:ascii="Times New Roman" w:hAnsi="Times New Roman"/>
          <w:b w:val="false"/>
          <w:bCs w:val="false"/>
          <w:i w:val="false"/>
          <w:iCs w:val="false"/>
          <w:color w:val="000000"/>
          <w:sz w:val="22"/>
          <w:szCs w:val="22"/>
        </w:rPr>
        <w:t>, a contar da data do recebimento da comunicação enviada pela autoridade competente.</w:t>
      </w:r>
    </w:p>
    <w:p>
      <w:pPr>
        <w:pStyle w:val="Nvel02"/>
        <w:numPr>
          <w:ilvl w:val="2"/>
          <w:numId w:val="1"/>
        </w:numPr>
        <w:shd w:val="clear" w:fill="FFFFFF"/>
        <w:ind w:left="0" w:hanging="0"/>
        <w:rPr/>
      </w:pPr>
      <w:r>
        <w:rPr>
          <w:rStyle w:val="Normaltextrun"/>
          <w:rFonts w:ascii="Times New Roman" w:hAnsi="Times New Roman"/>
          <w:b w:val="false"/>
          <w:bCs w:val="false"/>
          <w:i w:val="false"/>
          <w:iCs w:val="false"/>
          <w:color w:val="000000"/>
          <w:sz w:val="22"/>
          <w:szCs w:val="22"/>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pPr>
        <w:pStyle w:val="Nvel02"/>
        <w:numPr>
          <w:ilvl w:val="2"/>
          <w:numId w:val="1"/>
        </w:numPr>
        <w:shd w:val="clear" w:fill="FFFFFF"/>
        <w:ind w:left="0" w:hanging="0"/>
        <w:rPr/>
      </w:pPr>
      <w:r>
        <w:rPr>
          <w:rStyle w:val="Normaltextrun"/>
          <w:rFonts w:ascii="Times New Roman" w:hAnsi="Times New Roman"/>
          <w:b w:val="false"/>
          <w:bCs w:val="false"/>
          <w:i w:val="false"/>
          <w:iCs w:val="false"/>
          <w:color w:val="000000"/>
          <w:sz w:val="22"/>
          <w:szCs w:val="22"/>
        </w:rPr>
        <w:t>Para a garantia da ampla defesa e contraditório, as notificações serão enviadas eletronicamente para os endereços de e-mail informados na proposta comercial, bem como os cadastrados pela empresa no SICAF.</w:t>
      </w:r>
    </w:p>
    <w:p>
      <w:pPr>
        <w:pStyle w:val="Nvel02"/>
        <w:numPr>
          <w:ilvl w:val="2"/>
          <w:numId w:val="1"/>
        </w:numPr>
        <w:shd w:val="clear" w:fill="FFFFFF"/>
        <w:ind w:left="0" w:hanging="0"/>
        <w:rPr/>
      </w:pPr>
      <w:r>
        <w:rPr>
          <w:rStyle w:val="Normaltextrun"/>
          <w:rFonts w:ascii="Times New Roman" w:hAnsi="Times New Roman"/>
          <w:b w:val="false"/>
          <w:bCs w:val="false"/>
          <w:i w:val="false"/>
          <w:iCs w:val="false"/>
          <w:color w:val="000000"/>
          <w:sz w:val="22"/>
          <w:szCs w:val="22"/>
        </w:rPr>
        <w:t>Os endereços de e-mail informados na proposta comercial e/ou cadastrados no SICAF serão considerados de uso contínuo da empresa, não cabendo alegação de desconhecimento das comunicações a eles comprovadamente enviadas.</w:t>
      </w:r>
    </w:p>
    <w:p>
      <w:pPr>
        <w:pStyle w:val="Nvel02"/>
        <w:numPr>
          <w:ilvl w:val="2"/>
          <w:numId w:val="1"/>
        </w:numPr>
        <w:shd w:val="clear" w:fill="FFFFFF"/>
        <w:ind w:left="0" w:hanging="0"/>
        <w:rPr/>
      </w:pPr>
      <w:r>
        <w:rPr>
          <w:rStyle w:val="Normaltextrun"/>
          <w:rFonts w:ascii="Times New Roman" w:hAnsi="Times New Roman"/>
          <w:b w:val="false"/>
          <w:bCs w:val="false"/>
          <w:i w:val="false"/>
          <w:iCs w:val="false"/>
          <w:color w:val="000000"/>
          <w:sz w:val="22"/>
          <w:szCs w:val="22"/>
        </w:rPr>
        <w:t xml:space="preserve">Na aplicação </w:t>
      </w:r>
      <w:r>
        <w:rPr>
          <w:rFonts w:ascii="Times New Roman" w:hAnsi="Times New Roman"/>
          <w:b w:val="false"/>
          <w:bCs w:val="false"/>
          <w:i w:val="false"/>
          <w:iCs w:val="false"/>
          <w:color w:val="000000"/>
          <w:sz w:val="22"/>
          <w:szCs w:val="22"/>
        </w:rPr>
        <w:t>das</w:t>
      </w:r>
      <w:r>
        <w:rPr>
          <w:rStyle w:val="Normaltextrun"/>
          <w:rFonts w:ascii="Times New Roman" w:hAnsi="Times New Roman"/>
          <w:b w:val="false"/>
          <w:bCs w:val="false"/>
          <w:i w:val="false"/>
          <w:iCs w:val="false"/>
          <w:color w:val="000000"/>
          <w:sz w:val="22"/>
          <w:szCs w:val="22"/>
        </w:rPr>
        <w:t xml:space="preserve"> sanções serão considerados:</w:t>
      </w:r>
    </w:p>
    <w:p>
      <w:pPr>
        <w:pStyle w:val="Nvel02"/>
        <w:numPr>
          <w:ilvl w:val="3"/>
          <w:numId w:val="1"/>
        </w:numPr>
        <w:shd w:val="clear" w:fill="FFFFFF"/>
        <w:ind w:left="0" w:hanging="0"/>
        <w:rPr/>
      </w:pPr>
      <w:r>
        <w:rPr>
          <w:rStyle w:val="Normaltextrun"/>
          <w:rFonts w:ascii="Times New Roman" w:hAnsi="Times New Roman"/>
          <w:b w:val="false"/>
          <w:bCs w:val="false"/>
          <w:i w:val="false"/>
          <w:iCs w:val="false"/>
          <w:color w:val="000000"/>
          <w:sz w:val="22"/>
          <w:szCs w:val="22"/>
        </w:rPr>
        <w:t>a natureza e a gravidade da infração cometida;</w:t>
      </w:r>
    </w:p>
    <w:p>
      <w:pPr>
        <w:pStyle w:val="Nvel02"/>
        <w:numPr>
          <w:ilvl w:val="3"/>
          <w:numId w:val="1"/>
        </w:numPr>
        <w:shd w:val="clear" w:fill="FFFFFF"/>
        <w:ind w:left="0" w:hanging="0"/>
        <w:rPr/>
      </w:pPr>
      <w:r>
        <w:rPr>
          <w:rStyle w:val="Normaltextrun"/>
          <w:rFonts w:ascii="Times New Roman" w:hAnsi="Times New Roman"/>
          <w:b w:val="false"/>
          <w:bCs w:val="false"/>
          <w:i w:val="false"/>
          <w:iCs w:val="false"/>
          <w:color w:val="000000"/>
          <w:sz w:val="22"/>
          <w:szCs w:val="22"/>
        </w:rPr>
        <w:t>as peculiaridades do caso concreto;</w:t>
      </w:r>
    </w:p>
    <w:p>
      <w:pPr>
        <w:pStyle w:val="Nvel02"/>
        <w:numPr>
          <w:ilvl w:val="3"/>
          <w:numId w:val="1"/>
        </w:numPr>
        <w:shd w:val="clear" w:fill="FFFFFF"/>
        <w:ind w:left="0" w:hanging="0"/>
        <w:rPr/>
      </w:pPr>
      <w:r>
        <w:rPr>
          <w:rStyle w:val="Normaltextrun"/>
          <w:rFonts w:ascii="Times New Roman" w:hAnsi="Times New Roman"/>
          <w:b w:val="false"/>
          <w:bCs w:val="false"/>
          <w:i w:val="false"/>
          <w:iCs w:val="false"/>
          <w:color w:val="000000"/>
          <w:sz w:val="22"/>
          <w:szCs w:val="22"/>
        </w:rPr>
        <w:t>as circunstâncias agravantes ou atenuantes;</w:t>
      </w:r>
    </w:p>
    <w:p>
      <w:pPr>
        <w:pStyle w:val="Nvel02"/>
        <w:numPr>
          <w:ilvl w:val="3"/>
          <w:numId w:val="1"/>
        </w:numPr>
        <w:shd w:val="clear" w:fill="FFFFFF"/>
        <w:ind w:left="0" w:hanging="0"/>
        <w:rPr/>
      </w:pPr>
      <w:r>
        <w:rPr>
          <w:rFonts w:ascii="Times New Roman" w:hAnsi="Times New Roman"/>
          <w:b w:val="false"/>
          <w:bCs w:val="false"/>
          <w:i w:val="false"/>
          <w:iCs w:val="false"/>
          <w:color w:val="000000"/>
          <w:sz w:val="22"/>
          <w:szCs w:val="22"/>
        </w:rPr>
        <w:t>os danos que dela provierem para o Contratante;</w:t>
      </w:r>
      <w:r>
        <w:rPr>
          <w:rStyle w:val="Normaltextrun"/>
          <w:rFonts w:cs="Arial" w:ascii="Times New Roman" w:hAnsi="Times New Roman"/>
          <w:b w:val="false"/>
          <w:bCs w:val="false"/>
          <w:i w:val="false"/>
          <w:iCs w:val="false"/>
          <w:color w:val="000000"/>
          <w:sz w:val="22"/>
          <w:szCs w:val="22"/>
        </w:rPr>
        <w:t xml:space="preserve"> </w:t>
      </w:r>
      <w:r>
        <w:rPr>
          <w:rStyle w:val="Normaltextrun"/>
          <w:rFonts w:ascii="Times New Roman" w:hAnsi="Times New Roman"/>
          <w:b w:val="false"/>
          <w:bCs w:val="false"/>
          <w:i w:val="false"/>
          <w:iCs w:val="false"/>
          <w:color w:val="000000"/>
          <w:sz w:val="22"/>
          <w:szCs w:val="22"/>
        </w:rPr>
        <w:t>e</w:t>
      </w:r>
    </w:p>
    <w:p>
      <w:pPr>
        <w:pStyle w:val="Nvel02"/>
        <w:numPr>
          <w:ilvl w:val="3"/>
          <w:numId w:val="1"/>
        </w:numPr>
        <w:shd w:val="clear" w:fill="FFFFFF"/>
        <w:ind w:left="0" w:hanging="0"/>
        <w:rPr/>
      </w:pPr>
      <w:r>
        <w:rPr>
          <w:rStyle w:val="Normaltextrun"/>
          <w:rFonts w:ascii="Times New Roman" w:hAnsi="Times New Roman"/>
          <w:b w:val="false"/>
          <w:bCs w:val="false"/>
          <w:i w:val="false"/>
          <w:iCs w:val="false"/>
          <w:color w:val="000000"/>
          <w:sz w:val="22"/>
          <w:szCs w:val="22"/>
        </w:rPr>
        <w:t>a implantação ou o aperfeiçoamento de programa de integridade, conforme normas e orientações dos órgãos de controle.</w:t>
      </w:r>
    </w:p>
    <w:p>
      <w:pPr>
        <w:pStyle w:val="Nvel02"/>
        <w:numPr>
          <w:ilvl w:val="1"/>
          <w:numId w:val="1"/>
        </w:numPr>
        <w:shd w:val="clear" w:fill="FFFFFF"/>
        <w:ind w:left="0" w:hanging="0"/>
        <w:rPr/>
      </w:pPr>
      <w:r>
        <w:rPr>
          <w:rStyle w:val="Normaltextrun"/>
          <w:rFonts w:ascii="Times New Roman" w:hAnsi="Times New Roman"/>
          <w:b w:val="false"/>
          <w:bCs w:val="false"/>
          <w:i w:val="false"/>
          <w:iCs w:val="false"/>
          <w:color w:val="000000"/>
          <w:sz w:val="22"/>
          <w:szCs w:val="22"/>
        </w:rPr>
        <w:t xml:space="preserve">Os atos previstos como infrações administrativas na Lei nº 14.133, de 2021, ou em outras leis de licitações e contratos da </w:t>
      </w:r>
      <w:r>
        <w:rPr>
          <w:rFonts w:ascii="Times New Roman" w:hAnsi="Times New Roman"/>
          <w:b w:val="false"/>
          <w:bCs w:val="false"/>
          <w:i w:val="false"/>
          <w:iCs w:val="false"/>
          <w:color w:val="000000"/>
          <w:sz w:val="22"/>
          <w:szCs w:val="22"/>
        </w:rPr>
        <w:t>Administração</w:t>
      </w:r>
      <w:r>
        <w:rPr>
          <w:rStyle w:val="Normaltextrun"/>
          <w:rFonts w:ascii="Times New Roman" w:hAnsi="Times New Roman"/>
          <w:b w:val="false"/>
          <w:bCs w:val="false"/>
          <w:i w:val="false"/>
          <w:iCs w:val="false"/>
          <w:color w:val="000000"/>
          <w:sz w:val="22"/>
          <w:szCs w:val="22"/>
        </w:rPr>
        <w:t xml:space="preserve"> Pública que também sejam tipificados como atos lesivos na Lei nº 12.846, de 2013, serão apurados e julgados conjuntamente, nos mesmos autos, observados o rito procedimental e autoridade competente definidos na referida Lei.</w:t>
      </w:r>
    </w:p>
    <w:p>
      <w:pPr>
        <w:pStyle w:val="Nvel02"/>
        <w:numPr>
          <w:ilvl w:val="1"/>
          <w:numId w:val="1"/>
        </w:numPr>
        <w:shd w:val="clear" w:fill="FFFFFF"/>
        <w:ind w:left="0" w:hanging="0"/>
        <w:rPr/>
      </w:pPr>
      <w:r>
        <w:rPr>
          <w:rStyle w:val="Normaltextrun"/>
          <w:rFonts w:ascii="Times New Roman" w:hAnsi="Times New Roman"/>
          <w:b w:val="false"/>
          <w:bCs w:val="false"/>
          <w:i w:val="false"/>
          <w:iCs w:val="false"/>
          <w:color w:val="000000"/>
          <w:sz w:val="22"/>
          <w:szCs w:val="22"/>
        </w:rPr>
        <w:t xml:space="preserve">A personalidade jurídica do Contratado poderá ser desconsiderada sempre que utilizada com abuso do direito para facilitar, encobrir ou dissimular a prática dos atos ilícitos </w:t>
      </w:r>
      <w:bookmarkStart w:id="9" w:name="_Hlk170830482"/>
      <w:r>
        <w:rPr>
          <w:rStyle w:val="Normaltextrun"/>
          <w:rFonts w:ascii="Times New Roman" w:hAnsi="Times New Roman"/>
          <w:b w:val="false"/>
          <w:bCs w:val="false"/>
          <w:i w:val="false"/>
          <w:iCs w:val="false"/>
          <w:color w:val="000000"/>
          <w:sz w:val="22"/>
          <w:szCs w:val="22"/>
        </w:rPr>
        <w:t xml:space="preserve">previstos </w:t>
      </w:r>
      <w:r>
        <w:rPr>
          <w:rFonts w:ascii="Times New Roman" w:hAnsi="Times New Roman"/>
          <w:b w:val="false"/>
          <w:bCs w:val="false"/>
          <w:i w:val="false"/>
          <w:iCs w:val="false"/>
          <w:color w:val="000000"/>
          <w:sz w:val="22"/>
          <w:szCs w:val="22"/>
        </w:rPr>
        <w:t>neste Termo de Referência</w:t>
      </w:r>
      <w:bookmarkEnd w:id="9"/>
      <w:r>
        <w:rPr>
          <w:rStyle w:val="Normaltextrun"/>
          <w:rFonts w:ascii="Times New Roman" w:hAnsi="Times New Roman"/>
          <w:b w:val="false"/>
          <w:bCs w:val="false"/>
          <w:i w:val="false"/>
          <w:iCs w:val="false"/>
          <w:color w:val="000000"/>
          <w:sz w:val="22"/>
          <w:szCs w:val="22"/>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pPr>
        <w:pStyle w:val="Nvel02"/>
        <w:numPr>
          <w:ilvl w:val="1"/>
          <w:numId w:val="1"/>
        </w:numPr>
        <w:shd w:val="clear" w:fill="FFFFFF"/>
        <w:ind w:left="0" w:hanging="0"/>
        <w:rPr/>
      </w:pPr>
      <w:r>
        <w:rPr>
          <w:rStyle w:val="Normaltextrun"/>
          <w:rFonts w:ascii="Times New Roman" w:hAnsi="Times New Roman"/>
          <w:b w:val="false"/>
          <w:bCs w:val="false"/>
          <w:i w:val="false"/>
          <w:iCs w:val="false"/>
          <w:color w:val="000000"/>
          <w:sz w:val="22"/>
          <w:szCs w:val="22"/>
        </w:rPr>
        <w:t xml:space="preserve">O Contratante deverá, no prazo máximo de 15 (quinze) dias úteis, contado da data de aplicação da sanção, </w:t>
      </w:r>
      <w:r>
        <w:rPr>
          <w:rFonts w:ascii="Times New Roman" w:hAnsi="Times New Roman"/>
          <w:b w:val="false"/>
          <w:bCs w:val="false"/>
          <w:i w:val="false"/>
          <w:iCs w:val="false"/>
          <w:color w:val="000000"/>
          <w:sz w:val="22"/>
          <w:szCs w:val="22"/>
        </w:rPr>
        <w:t>informar</w:t>
      </w:r>
      <w:r>
        <w:rPr>
          <w:rStyle w:val="Normaltextrun"/>
          <w:rFonts w:ascii="Times New Roman" w:hAnsi="Times New Roman"/>
          <w:b w:val="false"/>
          <w:bCs w:val="false"/>
          <w:i w:val="false"/>
          <w:iCs w:val="false"/>
          <w:color w:val="000000"/>
          <w:sz w:val="22"/>
          <w:szCs w:val="22"/>
        </w:rPr>
        <w:t xml:space="preserve"> e manter atualizados os dados relativos às sanções por ela aplicadas, para fins de publicidade no Cadastro Nacional de Empresas Inidôneas e Suspensas (CEIS) e no Cadastro Nacional de Empresas Punidas (CNEP), instituídos no âmbito d</w:t>
      </w:r>
      <w:r>
        <w:rPr>
          <w:rStyle w:val="Normaltextrun"/>
          <w:rFonts w:ascii="Times New Roman" w:hAnsi="Times New Roman"/>
          <w:b w:val="false"/>
          <w:bCs w:val="false"/>
          <w:i w:val="false"/>
          <w:iCs w:val="false"/>
          <w:color w:val="000000"/>
          <w:sz w:val="22"/>
          <w:szCs w:val="22"/>
          <w:shd w:fill="auto" w:val="clear"/>
        </w:rPr>
        <w:t>o Poder Executivo Federal.</w:t>
      </w:r>
    </w:p>
    <w:p>
      <w:pPr>
        <w:pStyle w:val="Nvel02"/>
        <w:numPr>
          <w:ilvl w:val="1"/>
          <w:numId w:val="1"/>
        </w:numPr>
        <w:shd w:val="clear" w:fill="FFFFFF"/>
        <w:ind w:left="0" w:hanging="0"/>
        <w:rPr/>
      </w:pPr>
      <w:r>
        <w:rPr>
          <w:rFonts w:ascii="Times New Roman" w:hAnsi="Times New Roman"/>
          <w:b w:val="false"/>
          <w:bCs w:val="false"/>
          <w:i w:val="false"/>
          <w:iCs w:val="false"/>
          <w:color w:val="000000"/>
          <w:sz w:val="22"/>
          <w:szCs w:val="22"/>
          <w:shd w:fill="auto" w:val="clear"/>
        </w:rPr>
        <w:t>As penalidades serão obrigatoriamente registradas no SICAF.</w:t>
      </w:r>
    </w:p>
    <w:p>
      <w:pPr>
        <w:pStyle w:val="Nvel02"/>
        <w:numPr>
          <w:ilvl w:val="1"/>
          <w:numId w:val="1"/>
        </w:numPr>
        <w:shd w:val="clear" w:fill="FFFFFF"/>
        <w:ind w:left="0" w:hanging="0"/>
        <w:rPr/>
      </w:pPr>
      <w:r>
        <w:rPr>
          <w:rStyle w:val="Normaltextrun"/>
          <w:rFonts w:ascii="Times New Roman" w:hAnsi="Times New Roman"/>
          <w:b w:val="false"/>
          <w:bCs w:val="false"/>
          <w:i w:val="false"/>
          <w:iCs w:val="false"/>
          <w:color w:val="000000"/>
          <w:sz w:val="22"/>
          <w:szCs w:val="22"/>
          <w:shd w:fill="auto" w:val="clear"/>
        </w:rPr>
        <w:t>As sanções de impedimento de licitar e contratar e declaraçã</w:t>
      </w:r>
      <w:r>
        <w:rPr>
          <w:rStyle w:val="Normaltextrun"/>
          <w:rFonts w:ascii="Times New Roman" w:hAnsi="Times New Roman"/>
          <w:b w:val="false"/>
          <w:bCs w:val="false"/>
          <w:i w:val="false"/>
          <w:iCs w:val="false"/>
          <w:color w:val="000000"/>
          <w:sz w:val="22"/>
          <w:szCs w:val="22"/>
        </w:rPr>
        <w:t xml:space="preserve">o de inidoneidade para licitar ou contratar são passíveis </w:t>
      </w:r>
      <w:r>
        <w:rPr>
          <w:rFonts w:ascii="Times New Roman" w:hAnsi="Times New Roman"/>
          <w:b w:val="false"/>
          <w:bCs w:val="false"/>
          <w:i w:val="false"/>
          <w:iCs w:val="false"/>
          <w:color w:val="000000"/>
          <w:sz w:val="22"/>
          <w:szCs w:val="22"/>
        </w:rPr>
        <w:t>de</w:t>
      </w:r>
      <w:r>
        <w:rPr>
          <w:rStyle w:val="Normaltextrun"/>
          <w:rFonts w:ascii="Times New Roman" w:hAnsi="Times New Roman"/>
          <w:b w:val="false"/>
          <w:bCs w:val="false"/>
          <w:i w:val="false"/>
          <w:iCs w:val="false"/>
          <w:color w:val="000000"/>
          <w:sz w:val="22"/>
          <w:szCs w:val="22"/>
        </w:rPr>
        <w:t xml:space="preserve"> reabilitação na forma do art. 163 da Lei nº 14.133, de 2021.</w:t>
      </w:r>
    </w:p>
    <w:p>
      <w:pPr>
        <w:pStyle w:val="Nvel02"/>
        <w:numPr>
          <w:ilvl w:val="1"/>
          <w:numId w:val="1"/>
        </w:numPr>
        <w:shd w:val="clear" w:fill="FFFFFF"/>
        <w:ind w:left="0" w:hanging="0"/>
        <w:rPr/>
      </w:pPr>
      <w:r>
        <w:rPr>
          <w:rFonts w:ascii="Times New Roman" w:hAnsi="Times New Roman"/>
          <w:b w:val="false"/>
          <w:bCs w:val="false"/>
          <w:i w:val="false"/>
          <w:iCs w:val="false"/>
          <w:color w:val="000000"/>
          <w:sz w:val="22"/>
          <w:szCs w:val="22"/>
        </w:rPr>
        <w:t>Os</w:t>
      </w:r>
      <w:r>
        <w:rPr>
          <w:rStyle w:val="Normaltextrun"/>
          <w:rFonts w:ascii="Times New Roman" w:hAnsi="Times New Roman"/>
          <w:b w:val="false"/>
          <w:bCs w:val="false"/>
          <w:i w:val="false"/>
          <w:iCs w:val="false"/>
          <w:color w:val="000000"/>
          <w:sz w:val="22"/>
          <w:szCs w:val="22"/>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pPr>
        <w:pStyle w:val="Nivel01"/>
        <w:widowControl/>
        <w:numPr>
          <w:ilvl w:val="0"/>
          <w:numId w:val="0"/>
        </w:numPr>
        <w:suppressAutoHyphens w:val="true"/>
        <w:bidi w:val="0"/>
        <w:spacing w:lineRule="auto" w:line="276" w:before="0" w:after="0"/>
        <w:ind w:left="357" w:right="0" w:hanging="0"/>
        <w:contextualSpacing/>
        <w:jc w:val="left"/>
        <w:rPr>
          <w:rFonts w:ascii="Times New Roman" w:hAnsi="Times New Roman" w:eastAsia="Arial" w:cs="Arial"/>
          <w:i w:val="false"/>
          <w:i w:val="false"/>
          <w:iCs w:val="false"/>
          <w:color w:val="000000"/>
          <w:kern w:val="0"/>
          <w:sz w:val="22"/>
          <w:szCs w:val="22"/>
          <w:lang w:val="pt-BR" w:eastAsia="pt-BR" w:bidi="ar-SA"/>
        </w:rPr>
      </w:pPr>
      <w:r>
        <w:rPr>
          <w:rFonts w:eastAsia="Arial" w:cs="Arial"/>
          <w:b/>
          <w:bCs/>
          <w:i w:val="false"/>
          <w:iCs w:val="false"/>
          <w:color w:val="000000"/>
          <w:kern w:val="0"/>
          <w:sz w:val="22"/>
          <w:szCs w:val="22"/>
          <w:lang w:val="pt-BR" w:eastAsia="pt-BR" w:bidi="ar-SA"/>
        </w:rPr>
        <w:t>CRITÉRIOS DE MEDIÇÃO E DE PAGAMENTO</w:t>
      </w:r>
    </w:p>
    <w:p>
      <w:pPr>
        <w:pStyle w:val="Nvel1SemNumerao"/>
        <w:widowControl/>
        <w:numPr>
          <w:ilvl w:val="0"/>
          <w:numId w:val="1"/>
        </w:numPr>
        <w:suppressAutoHyphens w:val="true"/>
        <w:bidi w:val="0"/>
        <w:spacing w:lineRule="auto" w:line="276" w:before="120" w:after="120"/>
        <w:ind w:left="0" w:right="0" w:hanging="0"/>
        <w:contextualSpacing/>
        <w:jc w:val="left"/>
        <w:rPr>
          <w:rFonts w:ascii="Calibri" w:hAnsi="Calibri"/>
          <w:color w:val="000000"/>
          <w:sz w:val="22"/>
          <w:szCs w:val="22"/>
        </w:rPr>
      </w:pPr>
      <w:r>
        <w:rPr>
          <w:rFonts w:eastAsia="Arial" w:cs="Arial"/>
          <w:i w:val="false"/>
          <w:iCs w:val="false"/>
          <w:color w:val="000000"/>
          <w:kern w:val="0"/>
          <w:sz w:val="22"/>
          <w:szCs w:val="22"/>
          <w:lang w:val="pt-BR" w:eastAsia="pt-BR" w:bidi="ar-SA"/>
        </w:rPr>
        <w:t>Recebimento</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commentRangeStart w:id="11"/>
      <w:r>
        <w:rPr>
          <w:rFonts w:ascii="Times New Roman" w:hAnsi="Times New Roman"/>
          <w:b w:val="false"/>
          <w:bCs w:val="false"/>
          <w:i w:val="false"/>
          <w:iCs w:val="false"/>
          <w:color w:val="000000"/>
          <w:sz w:val="22"/>
          <w:szCs w:val="22"/>
          <w:lang w:eastAsia="en-US"/>
        </w:rPr>
        <w:t>Os bens serão recebidos provisoriamente, de forma sumária</w:t>
      </w:r>
      <w:r>
        <w:rPr>
          <w:rFonts w:ascii="Times New Roman" w:hAnsi="Times New Roman"/>
          <w:b w:val="false"/>
          <w:bCs w:val="false"/>
          <w:i w:val="false"/>
          <w:iCs w:val="false"/>
          <w:color w:val="000000"/>
          <w:sz w:val="22"/>
          <w:szCs w:val="22"/>
          <w:lang w:eastAsia="en-US"/>
        </w:rPr>
      </w:r>
      <w:commentRangeEnd w:id="11"/>
      <w:r>
        <w:commentReference w:id="11"/>
      </w:r>
      <w:r>
        <w:rPr>
          <w:rFonts w:ascii="Times New Roman" w:hAnsi="Times New Roman"/>
          <w:b w:val="false"/>
          <w:bCs w:val="false"/>
          <w:i w:val="false"/>
          <w:iCs w:val="false"/>
          <w:color w:val="000000"/>
          <w:sz w:val="22"/>
          <w:szCs w:val="22"/>
          <w:lang w:eastAsia="en-US"/>
        </w:rPr>
        <w:t xml:space="preserve">, no ato da entrega, juntamente com a </w:t>
      </w:r>
      <w:r>
        <w:rPr>
          <w:rFonts w:eastAsia="Calibri" w:ascii="Times New Roman" w:hAnsi="Times New Roman"/>
          <w:b w:val="false"/>
          <w:bCs w:val="false"/>
          <w:i w:val="false"/>
          <w:iCs w:val="false"/>
          <w:color w:val="000000"/>
          <w:sz w:val="22"/>
          <w:szCs w:val="22"/>
          <w:lang w:eastAsia="en-US"/>
        </w:rPr>
        <w:t>nota</w:t>
      </w:r>
      <w:r>
        <w:rPr>
          <w:rFonts w:ascii="Times New Roman" w:hAnsi="Times New Roman"/>
          <w:b w:val="false"/>
          <w:bCs w:val="false"/>
          <w:i w:val="false"/>
          <w:iCs w:val="false"/>
          <w:color w:val="000000"/>
          <w:sz w:val="22"/>
          <w:szCs w:val="22"/>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Pr>
          <w:rFonts w:ascii="Times New Roman" w:hAnsi="Times New Roman"/>
          <w:b/>
          <w:bCs/>
          <w:i w:val="false"/>
          <w:iCs w:val="false"/>
          <w:color w:val="000000"/>
          <w:sz w:val="22"/>
          <w:szCs w:val="22"/>
          <w:lang w:eastAsia="en-US"/>
        </w:rPr>
        <w:t>05 (cinco) dias</w:t>
      </w:r>
      <w:r>
        <w:rPr>
          <w:rFonts w:ascii="Times New Roman" w:hAnsi="Times New Roman"/>
          <w:b w:val="false"/>
          <w:bCs w:val="false"/>
          <w:i w:val="false"/>
          <w:iCs w:val="false"/>
          <w:color w:val="000000"/>
          <w:sz w:val="22"/>
          <w:szCs w:val="22"/>
          <w:lang w:eastAsia="en-US"/>
        </w:rPr>
        <w:t>, a contar da notificação da contratada, às suas custas, sem prejuízo da aplicação das penalidades.</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commentRangeStart w:id="12"/>
      <w:r>
        <w:rPr>
          <w:rFonts w:ascii="Times New Roman" w:hAnsi="Times New Roman"/>
          <w:b w:val="false"/>
          <w:bCs w:val="false"/>
          <w:i w:val="false"/>
          <w:iCs w:val="false"/>
          <w:color w:val="000000"/>
          <w:sz w:val="22"/>
          <w:szCs w:val="22"/>
          <w:lang w:eastAsia="en-US"/>
        </w:rPr>
        <w:t xml:space="preserve">O recebimento definitivo ocorrerá no prazo de </w:t>
      </w:r>
      <w:r>
        <w:rPr>
          <w:rFonts w:ascii="Times New Roman" w:hAnsi="Times New Roman"/>
          <w:b/>
          <w:bCs/>
          <w:i w:val="false"/>
          <w:iCs w:val="false"/>
          <w:color w:val="000000"/>
          <w:sz w:val="22"/>
          <w:szCs w:val="22"/>
          <w:lang w:eastAsia="en-US"/>
        </w:rPr>
        <w:t>10 (dez) dias úteis</w:t>
      </w:r>
      <w:r>
        <w:rPr>
          <w:rFonts w:ascii="Times New Roman" w:hAnsi="Times New Roman"/>
          <w:b w:val="false"/>
          <w:bCs w:val="false"/>
          <w:i w:val="false"/>
          <w:iCs w:val="false"/>
          <w:color w:val="000000"/>
          <w:sz w:val="22"/>
          <w:szCs w:val="22"/>
          <w:lang w:eastAsia="en-US"/>
        </w:rPr>
        <w:t>, a contar do recebimento da nota fiscal ou instrumento de cobrança equivalente pela Administração, após a verificação da qualidade e quantidade do material e consequente aceitação mediante termo detalhado.</w:t>
      </w:r>
      <w:commentRangeEnd w:id="12"/>
      <w:r>
        <w:commentReference w:id="12"/>
      </w:r>
      <w:r>
        <w:rPr>
          <w:rFonts w:ascii="Times New Roman" w:hAnsi="Times New Roman"/>
          <w:b w:val="false"/>
          <w:bCs w:val="false"/>
          <w:i w:val="false"/>
          <w:iCs w:val="false"/>
          <w:color w:val="000000"/>
          <w:sz w:val="22"/>
          <w:szCs w:val="22"/>
          <w:lang w:eastAsia="en-US"/>
        </w:rPr>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commentRangeStart w:id="13"/>
      <w:r>
        <w:rPr>
          <w:rFonts w:ascii="Times New Roman" w:hAnsi="Times New Roman"/>
          <w:b w:val="false"/>
          <w:bCs w:val="false"/>
          <w:i w:val="false"/>
          <w:iCs w:val="false"/>
          <w:color w:val="000000"/>
          <w:sz w:val="22"/>
          <w:szCs w:val="22"/>
          <w:lang w:eastAsia="en-US"/>
        </w:rPr>
        <w:t xml:space="preserve">Para as contratações decorrentes de despesas cujos valores não ultrapassem o limite de que trata o inciso II do art. 75 da Lei nº 14.133, de 2021, o prazo máximo para o recebimento definitivo será de até </w:t>
      </w:r>
      <w:r>
        <w:rPr>
          <w:rFonts w:ascii="Times New Roman" w:hAnsi="Times New Roman"/>
          <w:b/>
          <w:bCs/>
          <w:i w:val="false"/>
          <w:iCs w:val="false"/>
          <w:color w:val="000000"/>
          <w:sz w:val="22"/>
          <w:szCs w:val="22"/>
          <w:lang w:eastAsia="en-US"/>
        </w:rPr>
        <w:t>15 (quinze) dias úteis</w:t>
      </w:r>
      <w:r>
        <w:rPr>
          <w:rFonts w:ascii="Times New Roman" w:hAnsi="Times New Roman"/>
          <w:b w:val="false"/>
          <w:bCs w:val="false"/>
          <w:i w:val="false"/>
          <w:iCs w:val="false"/>
          <w:color w:val="000000"/>
          <w:sz w:val="22"/>
          <w:szCs w:val="22"/>
          <w:lang w:eastAsia="en-US"/>
        </w:rPr>
        <w:t>.</w:t>
      </w:r>
      <w:commentRangeEnd w:id="13"/>
      <w:r>
        <w:commentReference w:id="13"/>
      </w:r>
      <w:r>
        <w:rPr>
          <w:rFonts w:ascii="Times New Roman" w:hAnsi="Times New Roman"/>
          <w:b w:val="false"/>
          <w:bCs w:val="false"/>
          <w:i w:val="false"/>
          <w:iCs w:val="false"/>
          <w:color w:val="000000"/>
          <w:sz w:val="22"/>
          <w:szCs w:val="22"/>
          <w:lang w:eastAsia="en-US"/>
        </w:rPr>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lang w:eastAsia="en-US"/>
        </w:rPr>
        <w:t>O prazo para recebimento definitivo poderá ser excepcionalmente prorrogado, de forma justificada, por igual período, quando houver necessidade de diligências para a aferição do atendimento das exigências contratuais.</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lang w:eastAsia="en-US"/>
        </w:rPr>
        <w:t>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lang w:eastAsia="en-US"/>
        </w:rPr>
        <w:t>O recebimento provisório ou definitivo não excluirá a responsabilidade civil pela solidez e pela segurança dos bens nem a responsabilidade ético-profissional pela perfeita execução do contrato.</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As atividades de montagem, instalação e quaisquer outras necessárias para o funcionamento ou uso do bem correrão por conta do Contratado e são condição para o recebimento do objeto.</w:t>
      </w:r>
    </w:p>
    <w:p>
      <w:pPr>
        <w:pStyle w:val="Nvel1SemNumerao"/>
        <w:widowControl/>
        <w:numPr>
          <w:ilvl w:val="0"/>
          <w:numId w:val="1"/>
        </w:numPr>
        <w:suppressAutoHyphens w:val="true"/>
        <w:bidi w:val="0"/>
        <w:spacing w:lineRule="auto" w:line="276" w:before="120" w:after="120"/>
        <w:ind w:left="0" w:right="0" w:hanging="0"/>
        <w:contextualSpacing/>
        <w:jc w:val="left"/>
        <w:rPr>
          <w:rFonts w:ascii="Calibri" w:hAnsi="Calibri"/>
          <w:color w:val="000000"/>
          <w:sz w:val="22"/>
          <w:szCs w:val="22"/>
        </w:rPr>
      </w:pPr>
      <w:r>
        <w:rPr>
          <w:rFonts w:eastAsia="Arial" w:cs="Arial"/>
          <w:i w:val="false"/>
          <w:iCs w:val="false"/>
          <w:color w:val="000000"/>
          <w:kern w:val="0"/>
          <w:sz w:val="22"/>
          <w:szCs w:val="22"/>
          <w:lang w:val="pt-BR" w:eastAsia="pt-BR" w:bidi="ar-SA"/>
        </w:rPr>
        <w:t>Liquidação</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Recebida a Nota Fiscal ou documento de cobrança equivalente, correrá o prazo de dez dias úteis para fins de liquidação, na forma desta seção, prorrogáveis por igual período, nos termos do art. 7º, §3º da Instrução Normativa SEGES/ME nº 77/2022.</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O prazo de que trata o item anterior será reduzido à metade, mantendo-se a possibilidade de prorrogação, no caso de contratações decorrentes de despesas cujos valores não ultrapassem o limite de que trata o inciso II do art. 75 da Lei nº 14.133, de 2021.</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lang w:eastAsia="en-US"/>
        </w:rPr>
        <w:t xml:space="preserve">Para fins de liquidação, o setor competente deverá verificar se a nota fiscal ou instrumento de cobrança equivalente apresentado expressa os elementos necessários e essenciais do documento, tais como: </w:t>
      </w:r>
    </w:p>
    <w:p>
      <w:pPr>
        <w:pStyle w:val="Nvel02"/>
        <w:numPr>
          <w:ilvl w:val="2"/>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o prazo de validade;</w:t>
      </w:r>
    </w:p>
    <w:p>
      <w:pPr>
        <w:pStyle w:val="Nvel02"/>
        <w:numPr>
          <w:ilvl w:val="2"/>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 xml:space="preserve">a data da emissão; </w:t>
      </w:r>
    </w:p>
    <w:p>
      <w:pPr>
        <w:pStyle w:val="Nvel02"/>
        <w:numPr>
          <w:ilvl w:val="2"/>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 xml:space="preserve">os dados do contrato e do órgão contratante; </w:t>
      </w:r>
    </w:p>
    <w:p>
      <w:pPr>
        <w:pStyle w:val="Nvel02"/>
        <w:numPr>
          <w:ilvl w:val="2"/>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 xml:space="preserve">o período respectivo de execução do contrato; </w:t>
      </w:r>
    </w:p>
    <w:p>
      <w:pPr>
        <w:pStyle w:val="Nvel02"/>
        <w:numPr>
          <w:ilvl w:val="2"/>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 xml:space="preserve">o valor a pagar; e </w:t>
      </w:r>
    </w:p>
    <w:p>
      <w:pPr>
        <w:pStyle w:val="Nvel02"/>
        <w:numPr>
          <w:ilvl w:val="2"/>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eventual destaque do valor de retenções tributárias cabíveis.</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 xml:space="preserve"> </w:t>
      </w:r>
      <w:r>
        <w:rPr>
          <w:rFonts w:ascii="Times New Roman" w:hAnsi="Times New Roman"/>
          <w:b w:val="false"/>
          <w:bCs w:val="false"/>
          <w:i w:val="false"/>
          <w:iCs w:val="false"/>
          <w:color w:val="000000"/>
          <w:sz w:val="22"/>
          <w:szCs w:val="22"/>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 xml:space="preserve"> </w:t>
      </w:r>
      <w:r>
        <w:rPr>
          <w:rFonts w:ascii="Times New Roman" w:hAnsi="Times New Roman"/>
          <w:b w:val="false"/>
          <w:bCs w:val="false"/>
          <w:i w:val="false"/>
          <w:iCs w:val="false"/>
          <w:color w:val="000000"/>
          <w:sz w:val="22"/>
          <w:szCs w:val="22"/>
        </w:rPr>
        <w:t>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A Administração deverá realizar consulta ao SICAF para:</w:t>
      </w:r>
    </w:p>
    <w:p>
      <w:pPr>
        <w:pStyle w:val="Nvel02"/>
        <w:numPr>
          <w:ilvl w:val="2"/>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verificar a manutenção das condições de habilitação exigidas;</w:t>
      </w:r>
    </w:p>
    <w:p>
      <w:pPr>
        <w:pStyle w:val="Nvel02"/>
        <w:numPr>
          <w:ilvl w:val="2"/>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identificar possível razão que impeça a participação em licitação/contratação no âmbito do órgão ou entidade, tais como a proibição de contratar com a Administração ou com o Poder Público, bem como ocorrências impeditivas indiretas.</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 xml:space="preserve">Constatando-se, junto ao SICAF, a situação de irregularidade do Contratado, será providenciada sua notificação, por escrito, para que, no prazo de </w:t>
      </w:r>
      <w:r>
        <w:rPr>
          <w:rFonts w:ascii="Times New Roman" w:hAnsi="Times New Roman"/>
          <w:b/>
          <w:bCs/>
          <w:i w:val="false"/>
          <w:iCs w:val="false"/>
          <w:color w:val="000000"/>
          <w:sz w:val="22"/>
          <w:szCs w:val="22"/>
        </w:rPr>
        <w:t>5 (cinco) dias úteis</w:t>
      </w:r>
      <w:r>
        <w:rPr>
          <w:rFonts w:ascii="Times New Roman" w:hAnsi="Times New Roman"/>
          <w:b w:val="false"/>
          <w:bCs w:val="false"/>
          <w:i w:val="false"/>
          <w:iCs w:val="false"/>
          <w:color w:val="000000"/>
          <w:sz w:val="22"/>
          <w:szCs w:val="22"/>
        </w:rPr>
        <w:t>, regularize sua situação ou, no mesmo prazo, apresente sua defesa. O prazo poderá ser prorrogado uma vez, por igual período, a critério do Contratante.</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lang w:eastAsia="en-US"/>
        </w:rPr>
        <w:t xml:space="preserve">Persistindo a irregularidade, o Contratante deverá adotar as medidas necessárias à rescisão contratual nos autos do processo administrativo correspondente, assegurada ao Contratado a ampla defesa. </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Havendo a efetiva execução do objeto, os pagamentos serão realizados normalmente, até que se decida pela rescisão do contrato, caso o Contratado não regularize sua situação junto ao SICAF.</w:t>
      </w:r>
    </w:p>
    <w:p>
      <w:pPr>
        <w:pStyle w:val="Nvel1SemNumerao"/>
        <w:widowControl/>
        <w:numPr>
          <w:ilvl w:val="0"/>
          <w:numId w:val="1"/>
        </w:numPr>
        <w:suppressAutoHyphens w:val="true"/>
        <w:bidi w:val="0"/>
        <w:spacing w:lineRule="auto" w:line="276" w:before="120" w:after="120"/>
        <w:ind w:left="0" w:right="0" w:hanging="0"/>
        <w:contextualSpacing/>
        <w:jc w:val="left"/>
        <w:rPr>
          <w:rFonts w:ascii="Calibri" w:hAnsi="Calibri"/>
          <w:color w:val="000000"/>
          <w:sz w:val="22"/>
          <w:szCs w:val="22"/>
        </w:rPr>
      </w:pPr>
      <w:r>
        <w:rPr>
          <w:rFonts w:eastAsia="Arial" w:cs="Arial"/>
          <w:i w:val="false"/>
          <w:iCs w:val="false"/>
          <w:color w:val="000000"/>
          <w:kern w:val="0"/>
          <w:sz w:val="22"/>
          <w:szCs w:val="22"/>
          <w:lang w:val="pt-BR" w:eastAsia="pt-BR" w:bidi="ar-SA"/>
        </w:rPr>
        <w:t>Prazo de pagamento</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 xml:space="preserve">O pagamento será efetuado no prazo de até </w:t>
      </w:r>
      <w:r>
        <w:rPr>
          <w:rFonts w:ascii="Times New Roman" w:hAnsi="Times New Roman"/>
          <w:b/>
          <w:bCs/>
          <w:i w:val="false"/>
          <w:iCs w:val="false"/>
          <w:color w:val="000000"/>
          <w:sz w:val="22"/>
          <w:szCs w:val="22"/>
        </w:rPr>
        <w:t>10 (dez) dias úteis</w:t>
      </w:r>
      <w:r>
        <w:rPr>
          <w:rFonts w:ascii="Times New Roman" w:hAnsi="Times New Roman"/>
          <w:b w:val="false"/>
          <w:bCs w:val="false"/>
          <w:i w:val="false"/>
          <w:iCs w:val="false"/>
          <w:color w:val="000000"/>
          <w:sz w:val="22"/>
          <w:szCs w:val="22"/>
        </w:rPr>
        <w:t xml:space="preserve"> contados da finalização da liquidação da despesa, conforme seção anterior, nos termos da Instrução Normativa SEGES/ME nº 77, de 2022.</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commentRangeStart w:id="14"/>
      <w:r>
        <w:rPr>
          <w:rFonts w:ascii="Times New Roman" w:hAnsi="Times New Roman"/>
          <w:b w:val="false"/>
          <w:bCs w:val="false"/>
          <w:i w:val="false"/>
          <w:iCs w:val="false"/>
          <w:color w:val="000000"/>
          <w:sz w:val="22"/>
          <w:szCs w:val="22"/>
          <w:lang w:eastAsia="en-US"/>
        </w:rPr>
        <w:t xml:space="preserve">No caso de atraso pelo Contratante, os valores devidos ao Contratado serão atualizados monetariamente entre o termo final do prazo de pagamento até a data de sua efetiva realização, mediante aplicação do índice </w:t>
      </w:r>
      <w:r>
        <w:rPr>
          <w:rFonts w:ascii="Times New Roman" w:hAnsi="Times New Roman"/>
          <w:b/>
          <w:bCs/>
          <w:i w:val="false"/>
          <w:iCs w:val="false"/>
          <w:color w:val="000000"/>
          <w:sz w:val="22"/>
          <w:szCs w:val="22"/>
          <w:lang w:eastAsia="en-US"/>
        </w:rPr>
        <w:t>IPCA</w:t>
      </w:r>
      <w:r>
        <w:rPr>
          <w:rFonts w:ascii="Times New Roman" w:hAnsi="Times New Roman"/>
          <w:b w:val="false"/>
          <w:bCs w:val="false"/>
          <w:i w:val="false"/>
          <w:iCs w:val="false"/>
          <w:color w:val="000000"/>
          <w:sz w:val="22"/>
          <w:szCs w:val="22"/>
          <w:lang w:eastAsia="en-US"/>
        </w:rPr>
        <w:t xml:space="preserve"> de correção monetária.</w:t>
      </w:r>
      <w:commentRangeEnd w:id="14"/>
      <w:r>
        <w:commentReference w:id="14"/>
      </w:r>
      <w:r>
        <w:rPr>
          <w:rFonts w:ascii="Times New Roman" w:hAnsi="Times New Roman"/>
          <w:b w:val="false"/>
          <w:bCs w:val="false"/>
          <w:i w:val="false"/>
          <w:iCs w:val="false"/>
          <w:color w:val="000000"/>
          <w:sz w:val="22"/>
          <w:szCs w:val="22"/>
          <w:lang w:eastAsia="en-US"/>
        </w:rPr>
      </w:r>
    </w:p>
    <w:p>
      <w:pPr>
        <w:pStyle w:val="Nvel1SemNumerao"/>
        <w:widowControl/>
        <w:numPr>
          <w:ilvl w:val="0"/>
          <w:numId w:val="1"/>
        </w:numPr>
        <w:suppressAutoHyphens w:val="true"/>
        <w:bidi w:val="0"/>
        <w:spacing w:lineRule="auto" w:line="276" w:before="120" w:after="120"/>
        <w:ind w:left="0" w:right="0" w:hanging="0"/>
        <w:contextualSpacing/>
        <w:jc w:val="left"/>
        <w:rPr>
          <w:rFonts w:ascii="Calibri" w:hAnsi="Calibri"/>
          <w:color w:val="000000"/>
          <w:sz w:val="22"/>
          <w:szCs w:val="22"/>
        </w:rPr>
      </w:pPr>
      <w:r>
        <w:rPr>
          <w:rFonts w:eastAsia="Arial" w:cs="Arial"/>
          <w:i w:val="false"/>
          <w:iCs w:val="false"/>
          <w:color w:val="000000"/>
          <w:kern w:val="0"/>
          <w:sz w:val="22"/>
          <w:szCs w:val="22"/>
          <w:lang w:val="pt-BR" w:eastAsia="pt-BR" w:bidi="ar-SA"/>
        </w:rPr>
        <w:t>Forma de pagamento</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O pagamento será realizado por meio de ordem bancária, para crédito em banco, agência e conta corrente indicados pelo Contratado.</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Será considerada data do pagamento o dia em que constar como emitida a ordem bancária para pagamento.</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commentRangeStart w:id="15"/>
      <w:r>
        <w:rPr>
          <w:rFonts w:ascii="Times New Roman" w:hAnsi="Times New Roman"/>
          <w:b w:val="false"/>
          <w:bCs w:val="false"/>
          <w:i w:val="false"/>
          <w:iCs w:val="false"/>
          <w:color w:val="000000"/>
          <w:sz w:val="22"/>
          <w:szCs w:val="22"/>
          <w:lang w:eastAsia="en-US"/>
        </w:rPr>
        <w:t>Quando do pagamento, será efetuada a retenção tributária prevista na legislação aplicável.</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Independentemente</w:t>
      </w:r>
      <w:r>
        <w:rPr>
          <w:rFonts w:ascii="Times New Roman" w:hAnsi="Times New Roman"/>
          <w:b w:val="false"/>
          <w:bCs w:val="false"/>
          <w:i w:val="false"/>
          <w:iCs w:val="false"/>
          <w:color w:val="000000"/>
          <w:sz w:val="22"/>
          <w:szCs w:val="22"/>
          <w:lang w:eastAsia="en-US"/>
        </w:rPr>
        <w:t xml:space="preserve"> do percentual de tributo inserido na planilha, quando houver, serão retidos na fonte, quando da realização do pagamento, os percentuais estabelecidos na legislação vigente.</w:t>
      </w:r>
      <w:commentRangeEnd w:id="15"/>
      <w:r>
        <w:commentReference w:id="15"/>
      </w:r>
      <w:r>
        <w:rPr>
          <w:rFonts w:ascii="Times New Roman" w:hAnsi="Times New Roman"/>
          <w:b w:val="false"/>
          <w:bCs w:val="false"/>
          <w:i w:val="false"/>
          <w:iCs w:val="false"/>
          <w:color w:val="000000"/>
          <w:sz w:val="22"/>
          <w:szCs w:val="22"/>
          <w:lang w:eastAsia="en-US"/>
        </w:rPr>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lang w:eastAsia="en-US"/>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vel1SemNumerao"/>
        <w:numPr>
          <w:ilvl w:val="0"/>
          <w:numId w:val="1"/>
        </w:numPr>
        <w:ind w:left="0" w:right="0" w:hanging="0"/>
        <w:rPr>
          <w:rFonts w:ascii="Calibri" w:hAnsi="Calibri"/>
          <w:color w:val="000000"/>
          <w:sz w:val="22"/>
          <w:szCs w:val="22"/>
        </w:rPr>
      </w:pPr>
      <w:commentRangeStart w:id="16"/>
      <w:r>
        <w:rPr>
          <w:b/>
          <w:bCs/>
          <w:i w:val="false"/>
          <w:iCs w:val="false"/>
          <w:color w:val="000000"/>
          <w:sz w:val="22"/>
          <w:szCs w:val="22"/>
          <w:lang w:eastAsia="en-US"/>
        </w:rPr>
        <w:t>Cessão de Crédito</w:t>
      </w:r>
      <w:commentRangeEnd w:id="16"/>
      <w:r>
        <w:commentReference w:id="16"/>
      </w:r>
      <w:r>
        <w:rPr>
          <w:b/>
          <w:bCs/>
          <w:i w:val="false"/>
          <w:iCs w:val="false"/>
          <w:color w:val="000000"/>
          <w:sz w:val="22"/>
          <w:szCs w:val="22"/>
          <w:lang w:eastAsia="en-US"/>
        </w:rPr>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commentRangeStart w:id="17"/>
      <w:r>
        <w:rPr>
          <w:rFonts w:ascii="Times New Roman" w:hAnsi="Times New Roman"/>
          <w:b w:val="false"/>
          <w:bCs w:val="false"/>
          <w:i w:val="false"/>
          <w:iCs w:val="false"/>
          <w:color w:val="000000"/>
          <w:sz w:val="22"/>
          <w:szCs w:val="22"/>
          <w:lang w:eastAsia="en-US"/>
        </w:rPr>
        <w:t>As cessões de crédito dependerão de prévia aprovação do Contratante.</w:t>
      </w:r>
      <w:commentRangeEnd w:id="17"/>
      <w:r>
        <w:commentReference w:id="17"/>
      </w:r>
      <w:r>
        <w:rPr>
          <w:rFonts w:ascii="Times New Roman" w:hAnsi="Times New Roman"/>
          <w:b w:val="false"/>
          <w:bCs w:val="false"/>
          <w:i w:val="false"/>
          <w:iCs w:val="false"/>
          <w:color w:val="000000"/>
          <w:sz w:val="22"/>
          <w:szCs w:val="22"/>
          <w:lang w:eastAsia="en-US"/>
        </w:rPr>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commentRangeStart w:id="18"/>
      <w:r>
        <w:rPr>
          <w:rFonts w:ascii="Times New Roman" w:hAnsi="Times New Roman"/>
          <w:b w:val="false"/>
          <w:bCs w:val="false"/>
          <w:i w:val="false"/>
          <w:iCs w:val="false"/>
          <w:color w:val="000000"/>
          <w:sz w:val="22"/>
          <w:szCs w:val="22"/>
          <w:lang w:eastAsia="en-US"/>
        </w:rPr>
        <w:t>A eficácia da cessão de crédito, em relação à Administração, está condicionada à celebração de termo aditivo ao contrato administrativo.</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lang w:eastAsia="en-US"/>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JL-01, de 18 de maio de 2020.</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lang w:eastAsia="en-US"/>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lang w:eastAsia="en-US"/>
        </w:rPr>
        <w:t>A cessão de crédito não afetará a execução do objeto contratado, que continuará sob a integral responsabilidade do Contratado.</w:t>
      </w:r>
      <w:commentRangeEnd w:id="18"/>
      <w:r>
        <w:commentReference w:id="18"/>
      </w:r>
      <w:r>
        <w:rPr>
          <w:rFonts w:ascii="Times New Roman" w:hAnsi="Times New Roman"/>
          <w:b w:val="false"/>
          <w:bCs w:val="false"/>
          <w:i w:val="false"/>
          <w:iCs w:val="false"/>
          <w:color w:val="000000"/>
          <w:sz w:val="22"/>
          <w:szCs w:val="22"/>
          <w:lang w:eastAsia="en-US"/>
        </w:rPr>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commentRangeStart w:id="19"/>
      <w:r>
        <w:rPr>
          <w:rFonts w:ascii="Times New Roman" w:hAnsi="Times New Roman"/>
          <w:b w:val="false"/>
          <w:bCs w:val="false"/>
          <w:i w:val="false"/>
          <w:iCs w:val="false"/>
          <w:color w:val="000000"/>
          <w:sz w:val="22"/>
          <w:szCs w:val="22"/>
          <w:lang w:eastAsia="en-US"/>
        </w:rPr>
        <w:t>O disposto nesta seção não afeta as operações de crédito de que trata a Instrução Normativa SEGES/MGI nº 82, de 21 de fevereiro de 2025, as quais ficam por esta regidas.</w:t>
      </w:r>
      <w:commentRangeEnd w:id="19"/>
      <w:r>
        <w:commentReference w:id="19"/>
      </w:r>
      <w:r>
        <w:rPr>
          <w:rFonts w:ascii="Times New Roman" w:hAnsi="Times New Roman"/>
          <w:b w:val="false"/>
          <w:bCs w:val="false"/>
          <w:i w:val="false"/>
          <w:iCs w:val="false"/>
          <w:color w:val="000000"/>
          <w:sz w:val="22"/>
          <w:szCs w:val="22"/>
          <w:lang w:eastAsia="en-US"/>
        </w:rPr>
      </w:r>
    </w:p>
    <w:p>
      <w:pPr>
        <w:pStyle w:val="Nvel1SemNumerao"/>
        <w:widowControl/>
        <w:numPr>
          <w:ilvl w:val="0"/>
          <w:numId w:val="1"/>
        </w:numPr>
        <w:suppressAutoHyphens w:val="true"/>
        <w:bidi w:val="0"/>
        <w:spacing w:lineRule="auto" w:line="276" w:before="120" w:after="120"/>
        <w:ind w:left="0" w:right="0" w:hanging="0"/>
        <w:contextualSpacing/>
        <w:jc w:val="left"/>
        <w:rPr>
          <w:rFonts w:ascii="Calibri" w:hAnsi="Calibri"/>
          <w:color w:val="000000"/>
          <w:sz w:val="22"/>
          <w:szCs w:val="22"/>
        </w:rPr>
      </w:pPr>
      <w:r>
        <w:rPr>
          <w:rFonts w:eastAsia="Arial" w:cs="Arial"/>
          <w:i w:val="false"/>
          <w:iCs w:val="false"/>
          <w:color w:val="000000"/>
          <w:kern w:val="0"/>
          <w:sz w:val="22"/>
          <w:szCs w:val="22"/>
          <w:lang w:val="pt-BR" w:eastAsia="pt-BR" w:bidi="ar-SA"/>
        </w:rPr>
        <w:t>Reajuste</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bookmarkStart w:id="10" w:name="_Hlk169693537"/>
      <w:r>
        <w:rPr>
          <w:rFonts w:ascii="Times New Roman" w:hAnsi="Times New Roman"/>
          <w:b w:val="false"/>
          <w:bCs w:val="false"/>
          <w:i w:val="false"/>
          <w:iCs w:val="false"/>
          <w:color w:val="000000"/>
          <w:sz w:val="22"/>
          <w:szCs w:val="22"/>
        </w:rPr>
        <w:t>Os preços inicialmente contratados são fixos e irreajustáveis no prazo de um ano contado da data do orçamento estimado, em 15/05/2025</w:t>
      </w:r>
      <w:bookmarkEnd w:id="10"/>
      <w:r>
        <w:rPr>
          <w:rFonts w:ascii="Times New Roman" w:hAnsi="Times New Roman"/>
          <w:b w:val="false"/>
          <w:bCs w:val="false"/>
          <w:i w:val="false"/>
          <w:iCs w:val="false"/>
          <w:color w:val="000000"/>
          <w:sz w:val="22"/>
          <w:szCs w:val="22"/>
        </w:rPr>
        <w:t>.</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commentRangeStart w:id="20"/>
      <w:r>
        <w:rPr>
          <w:rFonts w:ascii="Times New Roman" w:hAnsi="Times New Roman"/>
          <w:b w:val="false"/>
          <w:bCs w:val="false"/>
          <w:i w:val="false"/>
          <w:iCs w:val="false"/>
          <w:color w:val="000000"/>
          <w:sz w:val="22"/>
          <w:szCs w:val="22"/>
        </w:rPr>
        <w:t>Após o interregno de um ano, e independentemente de pedido do C</w:t>
      </w:r>
      <w:commentRangeStart w:id="21"/>
      <w:r>
        <w:rPr>
          <w:rFonts w:ascii="Times New Roman" w:hAnsi="Times New Roman"/>
          <w:b w:val="false"/>
          <w:bCs w:val="false"/>
          <w:i w:val="false"/>
          <w:iCs w:val="false"/>
          <w:color w:val="000000"/>
          <w:sz w:val="22"/>
          <w:szCs w:val="22"/>
        </w:rPr>
        <w:t>ontratado</w:t>
      </w:r>
      <w:r>
        <w:rPr>
          <w:rFonts w:ascii="Times New Roman" w:hAnsi="Times New Roman"/>
          <w:b w:val="false"/>
          <w:bCs w:val="false"/>
          <w:i w:val="false"/>
          <w:iCs w:val="false"/>
          <w:color w:val="000000"/>
          <w:sz w:val="22"/>
          <w:szCs w:val="22"/>
        </w:rPr>
      </w:r>
      <w:commentRangeEnd w:id="21"/>
      <w:r>
        <w:commentReference w:id="21"/>
      </w:r>
      <w:r>
        <w:rPr>
          <w:rFonts w:ascii="Times New Roman" w:hAnsi="Times New Roman"/>
          <w:b w:val="false"/>
          <w:bCs w:val="false"/>
          <w:i w:val="false"/>
          <w:iCs w:val="false"/>
          <w:color w:val="000000"/>
          <w:sz w:val="22"/>
          <w:szCs w:val="22"/>
        </w:rPr>
        <w:t xml:space="preserve">, os preços iniciais serão reajustados, mediante a aplicação, pelo Contratante, do índice </w:t>
      </w:r>
      <w:r>
        <w:rPr>
          <w:rFonts w:ascii="Times New Roman" w:hAnsi="Times New Roman"/>
          <w:b/>
          <w:bCs/>
          <w:i w:val="false"/>
          <w:iCs w:val="false"/>
          <w:color w:val="000000"/>
          <w:sz w:val="22"/>
          <w:szCs w:val="22"/>
        </w:rPr>
        <w:t>IPCA</w:t>
      </w:r>
      <w:r>
        <w:rPr>
          <w:rFonts w:ascii="Times New Roman" w:hAnsi="Times New Roman"/>
          <w:b w:val="false"/>
          <w:bCs w:val="false"/>
          <w:i w:val="false"/>
          <w:iCs w:val="false"/>
          <w:color w:val="000000"/>
          <w:sz w:val="22"/>
          <w:szCs w:val="22"/>
        </w:rPr>
        <w:t>, exclusivamente para as obrigações iniciadas e concluídas após a ocorrência da anualidade</w:t>
      </w:r>
      <w:r>
        <w:rPr>
          <w:rFonts w:ascii="Times New Roman" w:hAnsi="Times New Roman"/>
          <w:b w:val="false"/>
          <w:bCs w:val="false"/>
          <w:i w:val="false"/>
          <w:iCs w:val="false"/>
          <w:color w:val="000000"/>
          <w:sz w:val="22"/>
          <w:szCs w:val="22"/>
        </w:rPr>
      </w:r>
      <w:commentRangeEnd w:id="20"/>
      <w:r>
        <w:commentReference w:id="20"/>
      </w:r>
      <w:r>
        <w:rPr>
          <w:rFonts w:ascii="Times New Roman" w:hAnsi="Times New Roman"/>
          <w:b w:val="false"/>
          <w:bCs w:val="false"/>
          <w:i w:val="false"/>
          <w:iCs w:val="false"/>
          <w:color w:val="000000"/>
          <w:sz w:val="22"/>
          <w:szCs w:val="22"/>
        </w:rPr>
        <w:t>.</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Nos reajustes subsequentes ao primeiro, o interregno mínimo de um ano será contado a partir dos efeitos financeiros do último reajuste.</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No caso de atraso ou não divulgação do(s) índice (s) de reajustamento, o Contratante pagará ao Contratado a importância calculada pela última variação conhecida, liquidando a diferença correspondente tão logo seja(m) divulgado(s) o(s) índice(s) definitivo(s).</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Nas aferições finais, o(s) índice(s) utilizado(s) para reajuste será(ão), obrigatoriamente, o(s) definitivo(s).</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Caso o(s) índice(s) estabelecido(s) para reajustamento venha(m) a ser extinto(s) ou de qualquer forma não possa(m) mais ser utilizado(s), será(ão) adotado(s), em substituição, o(s) que vier(em) a ser determinado(s) pela legislação então em vigor.</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Na ausência de previsão legal quanto ao índice substituto, as partes elegerão novo índice oficial, para reajustamento do preço do valor remanescente, por meio de termo aditivo.</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O reajuste será realizado por apostilamento.</w:t>
      </w:r>
    </w:p>
    <w:p>
      <w:pPr>
        <w:pStyle w:val="Nivel01"/>
        <w:widowControl/>
        <w:numPr>
          <w:ilvl w:val="0"/>
          <w:numId w:val="1"/>
        </w:numPr>
        <w:suppressAutoHyphens w:val="true"/>
        <w:bidi w:val="0"/>
        <w:spacing w:lineRule="auto" w:line="276" w:before="0" w:after="0"/>
        <w:ind w:left="357" w:right="0" w:hanging="357"/>
        <w:contextualSpacing/>
        <w:jc w:val="left"/>
        <w:rPr>
          <w:rFonts w:ascii="Times New Roman" w:hAnsi="Times New Roman" w:eastAsia="Arial" w:cs="Arial"/>
          <w:i w:val="false"/>
          <w:i w:val="false"/>
          <w:iCs w:val="false"/>
          <w:color w:val="000000"/>
          <w:kern w:val="0"/>
          <w:sz w:val="22"/>
          <w:szCs w:val="22"/>
          <w:lang w:val="pt-BR" w:eastAsia="pt-BR" w:bidi="ar-SA"/>
        </w:rPr>
      </w:pPr>
      <w:r>
        <w:rPr>
          <w:rFonts w:eastAsia="Arial" w:cs="Arial"/>
          <w:b/>
          <w:bCs/>
          <w:i w:val="false"/>
          <w:iCs w:val="false"/>
          <w:color w:val="000000"/>
          <w:kern w:val="0"/>
          <w:sz w:val="22"/>
          <w:szCs w:val="22"/>
          <w:lang w:val="pt-BR" w:eastAsia="pt-BR" w:bidi="ar-SA"/>
        </w:rPr>
        <w:t>FORMA E CRITÉRIOS DE SELEÇÃO DO FORNECEDOR E FORMA DE FORNECIMENTO</w:t>
      </w:r>
    </w:p>
    <w:p>
      <w:pPr>
        <w:pStyle w:val="Nvel1SemNumerao"/>
        <w:numPr>
          <w:ilvl w:val="0"/>
          <w:numId w:val="1"/>
        </w:numPr>
        <w:ind w:left="0" w:right="0" w:hanging="0"/>
        <w:rPr>
          <w:rFonts w:ascii="Calibri" w:hAnsi="Calibri"/>
          <w:color w:val="000000"/>
          <w:sz w:val="22"/>
          <w:szCs w:val="22"/>
        </w:rPr>
      </w:pPr>
      <w:r>
        <w:rPr>
          <w:b/>
          <w:bCs/>
          <w:i w:val="false"/>
          <w:iCs w:val="false"/>
          <w:color w:val="000000"/>
          <w:sz w:val="22"/>
          <w:szCs w:val="22"/>
        </w:rPr>
        <w:t xml:space="preserve">Forma de seleção e critério de julgamento da </w:t>
      </w:r>
      <w:commentRangeStart w:id="22"/>
      <w:r>
        <w:rPr>
          <w:b/>
          <w:bCs/>
          <w:i w:val="false"/>
          <w:iCs w:val="false"/>
          <w:color w:val="000000"/>
          <w:sz w:val="22"/>
          <w:szCs w:val="22"/>
        </w:rPr>
        <w:t>proposta</w:t>
      </w:r>
      <w:commentRangeEnd w:id="22"/>
      <w:r>
        <w:commentReference w:id="22"/>
      </w:r>
      <w:r>
        <w:rPr>
          <w:b/>
          <w:bCs/>
          <w:i w:val="false"/>
          <w:iCs w:val="false"/>
          <w:color w:val="000000"/>
          <w:sz w:val="22"/>
          <w:szCs w:val="22"/>
        </w:rPr>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bookmarkStart w:id="11" w:name="_Hlk171371350"/>
      <w:bookmarkStart w:id="12" w:name="_Hlk171371336"/>
      <w:r>
        <w:rPr>
          <w:rFonts w:ascii="Times New Roman" w:hAnsi="Times New Roman"/>
          <w:b w:val="false"/>
          <w:bCs w:val="false"/>
          <w:i w:val="false"/>
          <w:iCs w:val="false"/>
          <w:color w:val="000000"/>
          <w:sz w:val="22"/>
          <w:szCs w:val="22"/>
        </w:rPr>
        <w:t>O fornecedor será selecionado por meio da realização de procedimento de LICITAÇÃO, na modalidade PREGÃO, sob a forma ELETRÔNICA, com adoção do critério de julgamento pelo MENOR PREÇO</w:t>
      </w:r>
      <w:bookmarkEnd w:id="11"/>
      <w:bookmarkEnd w:id="12"/>
      <w:r>
        <w:rPr>
          <w:rFonts w:ascii="Times New Roman" w:hAnsi="Times New Roman"/>
          <w:b w:val="false"/>
          <w:bCs w:val="false"/>
          <w:i w:val="false"/>
          <w:iCs w:val="false"/>
          <w:color w:val="000000"/>
          <w:sz w:val="22"/>
          <w:szCs w:val="22"/>
        </w:rPr>
        <w:t>.</w:t>
      </w:r>
    </w:p>
    <w:p>
      <w:pPr>
        <w:pStyle w:val="Nvel02"/>
        <w:numPr>
          <w:ilvl w:val="1"/>
          <w:numId w:val="1"/>
        </w:numPr>
        <w:shd w:val="clear" w:fill="FFFFFF"/>
        <w:ind w:left="0" w:hanging="0"/>
        <w:rPr/>
      </w:pPr>
      <w:r>
        <w:rPr>
          <w:rStyle w:val="Normaltextrun"/>
          <w:rFonts w:ascii="Times New Roman" w:hAnsi="Times New Roman"/>
          <w:b w:val="false"/>
          <w:bCs w:val="false"/>
          <w:i w:val="false"/>
          <w:iCs w:val="false"/>
          <w:color w:val="000000"/>
          <w:sz w:val="22"/>
          <w:szCs w:val="22"/>
          <w:shd w:fill="FFFFFF" w:val="clear"/>
        </w:rPr>
        <w:t xml:space="preserve">O </w:t>
      </w:r>
      <w:r>
        <w:rPr>
          <w:rStyle w:val="Findhit"/>
          <w:rFonts w:ascii="Times New Roman" w:hAnsi="Times New Roman"/>
          <w:b w:val="false"/>
          <w:bCs w:val="false"/>
          <w:i w:val="false"/>
          <w:iCs w:val="false"/>
          <w:color w:val="000000"/>
          <w:sz w:val="22"/>
          <w:szCs w:val="22"/>
          <w:shd w:fill="FFFFFF" w:val="clear"/>
        </w:rPr>
        <w:t xml:space="preserve">fornecimento do objeto será </w:t>
      </w:r>
      <w:r>
        <w:rPr>
          <w:rFonts w:ascii="Times New Roman" w:hAnsi="Times New Roman"/>
          <w:b w:val="false"/>
          <w:bCs w:val="false"/>
          <w:i w:val="false"/>
          <w:iCs w:val="false"/>
          <w:color w:val="000000"/>
          <w:sz w:val="22"/>
          <w:szCs w:val="22"/>
        </w:rPr>
        <w:t>integral</w:t>
      </w:r>
      <w:r>
        <w:rPr>
          <w:rFonts w:ascii="Times New Roman" w:hAnsi="Times New Roman"/>
          <w:b w:val="false"/>
          <w:bCs w:val="false"/>
          <w:i w:val="false"/>
          <w:iCs w:val="false"/>
          <w:color w:val="000000"/>
          <w:sz w:val="22"/>
          <w:szCs w:val="22"/>
          <w:shd w:fill="FFFFFF" w:val="clear"/>
        </w:rPr>
        <w:t>.</w:t>
      </w:r>
    </w:p>
    <w:p>
      <w:pPr>
        <w:pStyle w:val="Nvel1SemNumerao"/>
        <w:numPr>
          <w:ilvl w:val="0"/>
          <w:numId w:val="1"/>
        </w:numPr>
        <w:ind w:left="0" w:right="0" w:hanging="0"/>
        <w:rPr>
          <w:rFonts w:ascii="Calibri" w:hAnsi="Calibri"/>
          <w:color w:val="000000"/>
          <w:sz w:val="22"/>
          <w:szCs w:val="22"/>
        </w:rPr>
      </w:pPr>
      <w:bookmarkStart w:id="13" w:name="_Hlk1903365201"/>
      <w:bookmarkEnd w:id="13"/>
      <w:commentRangeStart w:id="23"/>
      <w:r>
        <w:rPr>
          <w:b/>
          <w:bCs/>
          <w:i w:val="false"/>
          <w:iCs w:val="false"/>
          <w:color w:val="000000"/>
          <w:sz w:val="22"/>
          <w:szCs w:val="22"/>
        </w:rPr>
        <w:t>Exigências de habilitação</w:t>
      </w:r>
      <w:commentRangeEnd w:id="23"/>
      <w:r>
        <w:commentReference w:id="23"/>
      </w:r>
      <w:r>
        <w:rPr>
          <w:b/>
          <w:bCs/>
          <w:i w:val="false"/>
          <w:iCs w:val="false"/>
          <w:color w:val="000000"/>
          <w:sz w:val="22"/>
          <w:szCs w:val="22"/>
        </w:rPr>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Para fins de habilitação, deverá o interessado comprovar os seguintes requisitos:</w:t>
      </w:r>
    </w:p>
    <w:p>
      <w:pPr>
        <w:pStyle w:val="Nvel1SemNumerao"/>
        <w:widowControl/>
        <w:numPr>
          <w:ilvl w:val="0"/>
          <w:numId w:val="1"/>
        </w:numPr>
        <w:suppressAutoHyphens w:val="true"/>
        <w:bidi w:val="0"/>
        <w:spacing w:lineRule="auto" w:line="276" w:before="120" w:after="120"/>
        <w:ind w:left="0" w:right="0" w:hanging="0"/>
        <w:contextualSpacing/>
        <w:jc w:val="left"/>
        <w:rPr>
          <w:rFonts w:ascii="Calibri" w:hAnsi="Calibri"/>
          <w:color w:val="000000"/>
          <w:sz w:val="22"/>
          <w:szCs w:val="22"/>
        </w:rPr>
      </w:pPr>
      <w:r>
        <w:rPr>
          <w:rFonts w:eastAsia="Arial" w:cs="Arial"/>
          <w:i w:val="false"/>
          <w:iCs w:val="false"/>
          <w:color w:val="000000"/>
          <w:kern w:val="0"/>
          <w:sz w:val="22"/>
          <w:szCs w:val="22"/>
          <w:lang w:val="pt-BR" w:eastAsia="pt-BR" w:bidi="ar-SA"/>
        </w:rPr>
        <w:t>Habilitação jurídica</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bookmarkStart w:id="14" w:name="_Ref115800561"/>
      <w:r>
        <w:rPr>
          <w:rFonts w:ascii="Times New Roman" w:hAnsi="Times New Roman"/>
          <w:b w:val="false"/>
          <w:bCs w:val="false"/>
          <w:i w:val="false"/>
          <w:iCs w:val="false"/>
          <w:color w:val="000000"/>
          <w:sz w:val="22"/>
          <w:szCs w:val="22"/>
        </w:rPr>
        <w:t>p</w:t>
      </w:r>
      <w:commentRangeStart w:id="24"/>
      <w:commentRangeStart w:id="25"/>
      <w:r>
        <w:rPr>
          <w:rFonts w:ascii="Times New Roman" w:hAnsi="Times New Roman"/>
          <w:b w:val="false"/>
          <w:bCs w:val="false"/>
          <w:i w:val="false"/>
          <w:iCs w:val="false"/>
          <w:color w:val="000000"/>
          <w:sz w:val="22"/>
          <w:szCs w:val="22"/>
        </w:rPr>
        <w:t>essoa física: cédula de identidade (RG) ou documento equivalente que, por força de lei, tenha validade para fins de identificação em todo o território nacional;</w:t>
      </w:r>
      <w:bookmarkEnd w:id="14"/>
      <w:r>
        <w:rPr>
          <w:rFonts w:ascii="Times New Roman" w:hAnsi="Times New Roman"/>
          <w:b w:val="false"/>
          <w:bCs w:val="false"/>
          <w:i w:val="false"/>
          <w:iCs w:val="false"/>
          <w:color w:val="000000"/>
          <w:sz w:val="22"/>
          <w:szCs w:val="22"/>
        </w:rPr>
      </w:r>
      <w:commentRangeEnd w:id="25"/>
      <w:r>
        <w:commentReference w:id="25"/>
      </w:r>
      <w:commentRangeEnd w:id="24"/>
      <w:r>
        <w:commentReference w:id="24"/>
      </w:r>
      <w:r>
        <w:rPr>
          <w:rFonts w:ascii="Times New Roman" w:hAnsi="Times New Roman"/>
          <w:b w:val="false"/>
          <w:bCs w:val="false"/>
          <w:i w:val="false"/>
          <w:iCs w:val="false"/>
          <w:color w:val="000000"/>
          <w:sz w:val="22"/>
          <w:szCs w:val="22"/>
        </w:rPr>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empresário individual: inscrição no Registro Público de Empresas Mercantis, a cargo da Junta Comercial da respectiva sede;</w:t>
      </w:r>
    </w:p>
    <w:p>
      <w:pPr>
        <w:pStyle w:val="Nvel02"/>
        <w:numPr>
          <w:ilvl w:val="1"/>
          <w:numId w:val="1"/>
        </w:numPr>
        <w:shd w:val="clear" w:fill="FFFFFF"/>
        <w:ind w:left="0" w:hanging="0"/>
        <w:rPr/>
      </w:pPr>
      <w:r>
        <w:rPr>
          <w:rFonts w:ascii="Times New Roman" w:hAnsi="Times New Roman"/>
          <w:b w:val="false"/>
          <w:bCs w:val="false"/>
          <w:i w:val="false"/>
          <w:iCs w:val="false"/>
          <w:color w:val="000000"/>
          <w:sz w:val="22"/>
          <w:szCs w:val="22"/>
        </w:rPr>
        <w:t xml:space="preserve">Microempreendedor Individual - MEI: Certificado da Condição de Microempreendedor Individual - CCMEI, cuja aceitação ficará condicionada à verificação da autenticidade no sítio </w:t>
      </w:r>
      <w:hyperlink r:id="rId3">
        <w:r>
          <w:rPr>
            <w:rStyle w:val="LinkdaInternet"/>
            <w:rFonts w:ascii="Times New Roman" w:hAnsi="Times New Roman"/>
            <w:b w:val="false"/>
            <w:bCs w:val="false"/>
            <w:i w:val="false"/>
            <w:iCs w:val="false"/>
            <w:color w:val="000000"/>
            <w:sz w:val="22"/>
            <w:szCs w:val="22"/>
          </w:rPr>
          <w:t>https://www.gov.br/empresas-e-negocios/pt-br/empreendedor</w:t>
        </w:r>
      </w:hyperlink>
      <w:r>
        <w:rPr>
          <w:rFonts w:ascii="Times New Roman" w:hAnsi="Times New Roman"/>
          <w:b w:val="false"/>
          <w:bCs w:val="false"/>
          <w:i w:val="false"/>
          <w:iCs w:val="false"/>
          <w:color w:val="000000"/>
          <w:sz w:val="22"/>
          <w:szCs w:val="22"/>
        </w:rPr>
        <w:t>;</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s</w:t>
      </w:r>
      <w:commentRangeStart w:id="26"/>
      <w:r>
        <w:rPr>
          <w:rFonts w:ascii="Times New Roman" w:hAnsi="Times New Roman"/>
          <w:b w:val="false"/>
          <w:bCs w:val="false"/>
          <w:i w:val="false"/>
          <w:iCs w:val="false"/>
          <w:color w:val="000000"/>
          <w:sz w:val="22"/>
          <w:szCs w:val="22"/>
        </w:rPr>
        <w:t>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commentRangeEnd w:id="26"/>
      <w:r>
        <w:commentReference w:id="26"/>
      </w:r>
      <w:r>
        <w:rPr>
          <w:rFonts w:ascii="Times New Roman" w:hAnsi="Times New Roman"/>
          <w:b w:val="false"/>
          <w:bCs w:val="false"/>
          <w:i w:val="false"/>
          <w:iCs w:val="false"/>
          <w:color w:val="000000"/>
          <w:sz w:val="22"/>
          <w:szCs w:val="22"/>
        </w:rPr>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sociedade simples: inscrição do ato constitutivo no Registro Civil de Pessoas Jurídicas do local de sua sede, acompanhada de documento comprobatório de seus administradores;</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15" w:name="_Int_ySfCXwr4"/>
      <w:r>
        <w:rPr>
          <w:rFonts w:ascii="Times New Roman" w:hAnsi="Times New Roman"/>
          <w:b w:val="false"/>
          <w:bCs w:val="false"/>
          <w:i w:val="false"/>
          <w:iCs w:val="false"/>
          <w:color w:val="000000"/>
          <w:sz w:val="22"/>
          <w:szCs w:val="22"/>
        </w:rPr>
        <w:t>Mercantis onde</w:t>
      </w:r>
      <w:bookmarkEnd w:id="15"/>
      <w:r>
        <w:rPr>
          <w:rFonts w:ascii="Times New Roman" w:hAnsi="Times New Roman"/>
          <w:b w:val="false"/>
          <w:bCs w:val="false"/>
          <w:i w:val="false"/>
          <w:iCs w:val="false"/>
          <w:color w:val="000000"/>
          <w:sz w:val="22"/>
          <w:szCs w:val="22"/>
        </w:rPr>
        <w:t xml:space="preserve"> opera, com averbação no Registro onde tem sede a matriz;</w:t>
      </w:r>
      <w:r>
        <w:rPr>
          <w:rFonts w:ascii="Calibri" w:hAnsi="Calibri"/>
          <w:b w:val="false"/>
          <w:bCs w:val="false"/>
          <w:i w:val="false"/>
          <w:iCs w:val="false"/>
          <w:color w:val="000000"/>
          <w:sz w:val="22"/>
          <w:szCs w:val="22"/>
        </w:rPr>
        <w:t xml:space="preserve">                                                 </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Os documentos apresentados deverão estar acompanhados de todas as alterações ou da consolidação respectiva.</w:t>
      </w:r>
      <w:r>
        <w:rPr>
          <w:rFonts w:ascii="Calibri" w:hAnsi="Calibri"/>
          <w:b w:val="false"/>
          <w:bCs w:val="false"/>
          <w:i w:val="false"/>
          <w:iCs w:val="false"/>
          <w:color w:val="000000"/>
          <w:sz w:val="22"/>
          <w:szCs w:val="22"/>
        </w:rPr>
        <w:t xml:space="preserve">                                              </w:t>
      </w:r>
    </w:p>
    <w:p>
      <w:pPr>
        <w:pStyle w:val="Nvel1SemNumerao"/>
        <w:widowControl/>
        <w:numPr>
          <w:ilvl w:val="0"/>
          <w:numId w:val="1"/>
        </w:numPr>
        <w:suppressAutoHyphens w:val="true"/>
        <w:bidi w:val="0"/>
        <w:spacing w:lineRule="auto" w:line="276" w:before="120" w:after="120"/>
        <w:ind w:left="0" w:right="0" w:hanging="0"/>
        <w:contextualSpacing/>
        <w:jc w:val="left"/>
        <w:rPr>
          <w:rFonts w:ascii="Calibri" w:hAnsi="Calibri"/>
          <w:color w:val="000000"/>
          <w:sz w:val="22"/>
          <w:szCs w:val="22"/>
        </w:rPr>
      </w:pPr>
      <w:r>
        <w:rPr>
          <w:rFonts w:eastAsia="Arial" w:cs="Arial"/>
          <w:i w:val="false"/>
          <w:iCs w:val="false"/>
          <w:color w:val="000000"/>
          <w:kern w:val="0"/>
          <w:sz w:val="22"/>
          <w:szCs w:val="22"/>
          <w:lang w:val="pt-BR" w:eastAsia="pt-BR" w:bidi="ar-SA"/>
        </w:rPr>
        <w:t>Habilitação fiscal, social e trabalhista</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commentRangeStart w:id="27"/>
      <w:r>
        <w:rPr>
          <w:rFonts w:ascii="Times New Roman" w:hAnsi="Times New Roman"/>
          <w:b w:val="false"/>
          <w:bCs w:val="false"/>
          <w:i w:val="false"/>
          <w:iCs w:val="false"/>
          <w:color w:val="000000"/>
          <w:sz w:val="22"/>
          <w:szCs w:val="22"/>
        </w:rPr>
        <w:t>Prova de inscrição no Cadastro Nacional de Pessoas Jurídicas ou no Cadastro de Pessoas Físicas, conforme o caso;</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Prova de regularidade com o Fundo de Garantia do Tempo de Serviço (FGTS);</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Prova de inscrição no cadastro de contribuintes Estadual ou Distrital relativo ao domicílio ou sede do fornecedor, pertinente ao seu ramo de atividade e compatível com o objeto contratual;</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Prova de regularidade com a Fazenda Estadual ou Distrital do domicílio ou sede do fornecedor, relativa à atividade em cujo exercício contrata ou concorre;</w:t>
      </w:r>
      <w:commentRangeEnd w:id="27"/>
      <w:r>
        <w:commentReference w:id="27"/>
      </w:r>
      <w:r>
        <w:rPr>
          <w:rFonts w:ascii="Times New Roman" w:hAnsi="Times New Roman"/>
          <w:b w:val="false"/>
          <w:bCs w:val="false"/>
          <w:i w:val="false"/>
          <w:iCs w:val="false"/>
          <w:color w:val="000000"/>
          <w:sz w:val="22"/>
          <w:szCs w:val="22"/>
        </w:rPr>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Caso o fornecedor seja considerado isento dos tributos relacionados ao objeto contratual, deverá comprovar tal condição mediante a apresentação de declaração da Fazenda respectiva do seu domicílio ou sede, ou outra equivalente, na forma da lei.</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bookmarkStart w:id="16" w:name="_Hlk121934117"/>
      <w:commentRangeStart w:id="28"/>
      <w:r>
        <w:rPr>
          <w:rFonts w:ascii="Times New Roman" w:hAnsi="Times New Roman"/>
          <w:b w:val="false"/>
          <w:bCs w:val="false"/>
          <w:i w:val="false"/>
          <w:iCs w:val="false"/>
          <w:color w:val="000000"/>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bookmarkEnd w:id="16"/>
      <w:commentRangeEnd w:id="28"/>
      <w:r>
        <w:commentReference w:id="28"/>
      </w:r>
      <w:r>
        <w:rPr>
          <w:rFonts w:ascii="Times New Roman" w:hAnsi="Times New Roman"/>
          <w:b w:val="false"/>
          <w:bCs w:val="false"/>
          <w:i w:val="false"/>
          <w:iCs w:val="false"/>
          <w:color w:val="000000"/>
          <w:sz w:val="22"/>
          <w:szCs w:val="22"/>
        </w:rPr>
      </w:r>
    </w:p>
    <w:p>
      <w:pPr>
        <w:pStyle w:val="Nvel1SemNumerao"/>
        <w:numPr>
          <w:ilvl w:val="0"/>
          <w:numId w:val="1"/>
        </w:numPr>
        <w:ind w:left="0" w:right="0" w:hanging="0"/>
        <w:rPr>
          <w:rFonts w:ascii="Calibri" w:hAnsi="Calibri"/>
          <w:color w:val="000000"/>
          <w:sz w:val="22"/>
          <w:szCs w:val="22"/>
        </w:rPr>
      </w:pPr>
      <w:commentRangeStart w:id="29"/>
      <w:r>
        <w:rPr>
          <w:b/>
          <w:bCs/>
          <w:i w:val="false"/>
          <w:iCs w:val="false"/>
          <w:color w:val="000000"/>
          <w:sz w:val="22"/>
          <w:szCs w:val="22"/>
        </w:rPr>
        <w:t>Qualificação Econômico-Financeira</w:t>
      </w:r>
      <w:commentRangeEnd w:id="29"/>
      <w:r>
        <w:commentReference w:id="29"/>
      </w:r>
      <w:r>
        <w:rPr>
          <w:b/>
          <w:bCs/>
          <w:i w:val="false"/>
          <w:iCs w:val="false"/>
          <w:color w:val="000000"/>
          <w:sz w:val="22"/>
          <w:szCs w:val="22"/>
        </w:rPr>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certidão negativa de insolvência civil expedida pelo distribuidor do domicílio ou sede do interessado, caso se trate de pessoa física, desde que admitida a sua participação na licitação/contratação, ou de sociedade simples;</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certidão negativa de falência expedida pelo distribuidor da sede do fornecedor;</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 xml:space="preserve">balanço </w:t>
      </w:r>
      <w:r>
        <w:rPr>
          <w:rFonts w:ascii="Times New Roman" w:hAnsi="Times New Roman"/>
          <w:b w:val="false"/>
          <w:bCs w:val="false"/>
          <w:i w:val="false"/>
          <w:iCs w:val="false"/>
          <w:color w:val="000000"/>
          <w:sz w:val="22"/>
          <w:szCs w:val="22"/>
          <w:shd w:fill="auto" w:val="clear"/>
        </w:rPr>
        <w:t xml:space="preserve">patrimonial, demonstração de resultado de exercício e demais demonstrações contábeis dos 2 (dois) últimos exercícios sociais, já exigíveis e apresentados na forma da lei, comprovando, índices de Liquidez Geral (LG), Liquidez Corrente (LC), e Solvência Geral (SG) superiores a 1 (um), obtidos por meio da aplicação das seguintes </w:t>
      </w:r>
      <w:commentRangeStart w:id="30"/>
      <w:r>
        <w:rPr>
          <w:rFonts w:ascii="Times New Roman" w:hAnsi="Times New Roman"/>
          <w:b w:val="false"/>
          <w:bCs w:val="false"/>
          <w:i w:val="false"/>
          <w:iCs w:val="false"/>
          <w:color w:val="000000"/>
          <w:sz w:val="22"/>
          <w:szCs w:val="22"/>
          <w:shd w:fill="auto" w:val="clear"/>
        </w:rPr>
        <w:t>fórmulas</w:t>
      </w:r>
      <w:r>
        <w:rPr>
          <w:rFonts w:ascii="Times New Roman" w:hAnsi="Times New Roman"/>
          <w:b w:val="false"/>
          <w:bCs w:val="false"/>
          <w:i w:val="false"/>
          <w:iCs w:val="false"/>
          <w:color w:val="000000"/>
          <w:sz w:val="22"/>
          <w:szCs w:val="22"/>
          <w:shd w:fill="auto" w:val="clear"/>
        </w:rPr>
      </w:r>
      <w:commentRangeEnd w:id="30"/>
      <w:r>
        <w:commentReference w:id="30"/>
      </w:r>
      <w:r>
        <w:rPr>
          <w:rFonts w:ascii="Times New Roman" w:hAnsi="Times New Roman"/>
          <w:b w:val="false"/>
          <w:bCs w:val="false"/>
          <w:i w:val="false"/>
          <w:iCs w:val="false"/>
          <w:color w:val="000000"/>
          <w:sz w:val="22"/>
          <w:szCs w:val="22"/>
          <w:shd w:fill="auto" w:val="clear"/>
        </w:rPr>
        <w:t xml:space="preserve">: </w:t>
      </w:r>
    </w:p>
    <w:tbl>
      <w:tblPr>
        <w:tblStyle w:val="Tabelacomgrade"/>
        <w:tblW w:w="6487" w:type="dxa"/>
        <w:jc w:val="left"/>
        <w:tblInd w:w="1133" w:type="dxa"/>
        <w:tblLayout w:type="fixed"/>
        <w:tblCellMar>
          <w:top w:w="0" w:type="dxa"/>
          <w:left w:w="123" w:type="dxa"/>
          <w:bottom w:w="0" w:type="dxa"/>
          <w:right w:w="108" w:type="dxa"/>
        </w:tblCellMar>
        <w:tblLook w:firstRow="1" w:noVBand="1" w:lastRow="0" w:firstColumn="1" w:lastColumn="0" w:noHBand="0" w:val="04a0"/>
      </w:tblPr>
      <w:tblGrid>
        <w:gridCol w:w="2234"/>
        <w:gridCol w:w="4252"/>
      </w:tblGrid>
      <w:tr>
        <w:trPr/>
        <w:tc>
          <w:tcPr>
            <w:tcW w:w="2234" w:type="dxa"/>
            <w:vMerge w:val="restart"/>
            <w:tcBorders>
              <w:top w:val="nil"/>
              <w:left w:val="nil"/>
              <w:bottom w:val="nil"/>
              <w:right w:val="nil"/>
            </w:tcBorders>
            <w:shd w:fill="auto" w:val="clear"/>
            <w:vAlign w:val="center"/>
          </w:tcPr>
          <w:p>
            <w:pPr>
              <w:pStyle w:val="Nvel02"/>
              <w:widowControl w:val="false"/>
              <w:numPr>
                <w:ilvl w:val="0"/>
                <w:numId w:val="0"/>
              </w:numPr>
              <w:shd w:val="clear" w:fill="FFFFFF"/>
              <w:suppressAutoHyphens w:val="true"/>
              <w:spacing w:before="120" w:after="120"/>
              <w:ind w:left="0" w:hanging="0"/>
              <w:rPr>
                <w:rFonts w:ascii="Calibri" w:hAnsi="Calibri"/>
                <w:color w:val="000000"/>
                <w:sz w:val="22"/>
                <w:szCs w:val="22"/>
              </w:rPr>
            </w:pPr>
            <w:r>
              <w:rPr>
                <w:rFonts w:ascii="Times New Roman" w:hAnsi="Times New Roman"/>
                <w:b w:val="false"/>
                <w:bCs w:val="false"/>
                <w:i w:val="false"/>
                <w:iCs w:val="false"/>
                <w:color w:val="000000"/>
                <w:kern w:val="0"/>
                <w:sz w:val="22"/>
                <w:szCs w:val="22"/>
                <w:shd w:fill="auto" w:val="clear"/>
                <w:lang w:val="pt-BR" w:bidi="ar-SA"/>
              </w:rPr>
              <w:t>LG =</w:t>
            </w:r>
          </w:p>
        </w:tc>
        <w:tc>
          <w:tcPr>
            <w:tcW w:w="4252" w:type="dxa"/>
            <w:tcBorders>
              <w:top w:val="nil"/>
              <w:left w:val="nil"/>
              <w:right w:val="nil"/>
            </w:tcBorders>
            <w:shd w:fill="auto" w:val="clear"/>
            <w:vAlign w:val="bottom"/>
          </w:tcPr>
          <w:p>
            <w:pPr>
              <w:pStyle w:val="Nvel02"/>
              <w:widowControl w:val="false"/>
              <w:numPr>
                <w:ilvl w:val="0"/>
                <w:numId w:val="0"/>
              </w:numPr>
              <w:shd w:val="clear" w:fill="FFFFFF"/>
              <w:suppressAutoHyphens w:val="true"/>
              <w:spacing w:before="120" w:after="120"/>
              <w:ind w:left="0" w:hanging="0"/>
              <w:rPr>
                <w:rFonts w:ascii="Calibri" w:hAnsi="Calibri"/>
                <w:color w:val="000000"/>
                <w:sz w:val="22"/>
                <w:szCs w:val="22"/>
              </w:rPr>
            </w:pPr>
            <w:r>
              <w:rPr>
                <w:rFonts w:ascii="Times New Roman" w:hAnsi="Times New Roman"/>
                <w:b w:val="false"/>
                <w:bCs w:val="false"/>
                <w:i w:val="false"/>
                <w:iCs w:val="false"/>
                <w:color w:val="000000"/>
                <w:kern w:val="0"/>
                <w:sz w:val="22"/>
                <w:szCs w:val="22"/>
                <w:shd w:fill="auto" w:val="clear"/>
                <w:lang w:val="pt-BR" w:bidi="ar-SA"/>
              </w:rPr>
              <w:t>Ativo Circulante + Realizável a Longo Prazo</w:t>
            </w:r>
          </w:p>
        </w:tc>
      </w:tr>
      <w:tr>
        <w:trPr/>
        <w:tc>
          <w:tcPr>
            <w:tcW w:w="2234" w:type="dxa"/>
            <w:vMerge w:val="continue"/>
            <w:tcBorders>
              <w:top w:val="nil"/>
              <w:left w:val="nil"/>
              <w:bottom w:val="nil"/>
              <w:right w:val="nil"/>
            </w:tcBorders>
            <w:shd w:fill="auto" w:val="clear"/>
          </w:tcPr>
          <w:p>
            <w:pPr>
              <w:pStyle w:val="Nvel02"/>
              <w:widowControl w:val="false"/>
              <w:numPr>
                <w:ilvl w:val="0"/>
                <w:numId w:val="0"/>
              </w:numPr>
              <w:shd w:val="clear" w:fill="FFFFFF"/>
              <w:suppressAutoHyphens w:val="true"/>
              <w:spacing w:before="120" w:after="120"/>
              <w:ind w:left="0" w:hanging="0"/>
              <w:rPr>
                <w:rFonts w:ascii="Times New Roman" w:hAnsi="Times New Roman"/>
                <w:b w:val="false"/>
                <w:b w:val="false"/>
                <w:bCs w:val="false"/>
                <w:i w:val="false"/>
                <w:i w:val="false"/>
                <w:iCs w:val="false"/>
                <w:color w:val="000000"/>
                <w:sz w:val="22"/>
                <w:szCs w:val="22"/>
              </w:rPr>
            </w:pPr>
            <w:r>
              <w:rPr>
                <w:rFonts w:ascii="Times New Roman" w:hAnsi="Times New Roman"/>
                <w:b w:val="false"/>
                <w:bCs w:val="false"/>
                <w:i w:val="false"/>
                <w:iCs w:val="false"/>
                <w:color w:val="000000"/>
                <w:sz w:val="22"/>
                <w:szCs w:val="22"/>
              </w:rPr>
            </w:r>
          </w:p>
        </w:tc>
        <w:tc>
          <w:tcPr>
            <w:tcW w:w="4252" w:type="dxa"/>
            <w:tcBorders>
              <w:top w:val="nil"/>
              <w:left w:val="nil"/>
              <w:bottom w:val="nil"/>
              <w:right w:val="nil"/>
            </w:tcBorders>
            <w:shd w:fill="auto" w:val="clear"/>
          </w:tcPr>
          <w:p>
            <w:pPr>
              <w:pStyle w:val="Nvel02"/>
              <w:widowControl w:val="false"/>
              <w:numPr>
                <w:ilvl w:val="0"/>
                <w:numId w:val="0"/>
              </w:numPr>
              <w:shd w:val="clear" w:fill="FFFFFF"/>
              <w:suppressAutoHyphens w:val="true"/>
              <w:spacing w:before="120" w:after="120"/>
              <w:ind w:left="0" w:hanging="0"/>
              <w:rPr>
                <w:rFonts w:ascii="Calibri" w:hAnsi="Calibri"/>
                <w:color w:val="000000"/>
                <w:sz w:val="22"/>
                <w:szCs w:val="22"/>
              </w:rPr>
            </w:pPr>
            <w:r>
              <w:rPr>
                <w:rFonts w:ascii="Times New Roman" w:hAnsi="Times New Roman"/>
                <w:b w:val="false"/>
                <w:bCs w:val="false"/>
                <w:i w:val="false"/>
                <w:iCs w:val="false"/>
                <w:color w:val="000000"/>
                <w:kern w:val="0"/>
                <w:sz w:val="22"/>
                <w:szCs w:val="22"/>
                <w:shd w:fill="auto" w:val="clear"/>
                <w:lang w:val="pt-BR" w:bidi="ar-SA"/>
              </w:rPr>
              <w:t>Passivo Circulante + Passivo Não Circulante</w:t>
            </w:r>
          </w:p>
        </w:tc>
      </w:tr>
    </w:tbl>
    <w:p>
      <w:pPr>
        <w:pStyle w:val="Nvel02"/>
        <w:numPr>
          <w:ilvl w:val="0"/>
          <w:numId w:val="0"/>
        </w:numPr>
        <w:shd w:val="clear" w:fill="FFFFFF"/>
        <w:ind w:left="0" w:hanging="0"/>
        <w:rPr>
          <w:rFonts w:ascii="Times New Roman" w:hAnsi="Times New Roman"/>
          <w:b w:val="false"/>
          <w:b w:val="false"/>
          <w:bCs w:val="false"/>
          <w:i w:val="false"/>
          <w:i w:val="false"/>
          <w:iCs w:val="false"/>
          <w:color w:val="000000"/>
          <w:sz w:val="22"/>
          <w:szCs w:val="22"/>
          <w:highlight w:val="yellow"/>
        </w:rPr>
      </w:pPr>
      <w:r>
        <w:rPr>
          <w:rFonts w:ascii="Times New Roman" w:hAnsi="Times New Roman"/>
          <w:b w:val="false"/>
          <w:bCs w:val="false"/>
          <w:i w:val="false"/>
          <w:iCs w:val="false"/>
          <w:color w:val="000000"/>
          <w:sz w:val="22"/>
          <w:szCs w:val="22"/>
          <w:highlight w:val="yellow"/>
        </w:rPr>
        <w:t xml:space="preserve">                                            </w:t>
      </w:r>
    </w:p>
    <w:tbl>
      <w:tblPr>
        <w:tblStyle w:val="Tabelacomgrade"/>
        <w:tblW w:w="6629" w:type="dxa"/>
        <w:jc w:val="left"/>
        <w:tblInd w:w="1133" w:type="dxa"/>
        <w:tblLayout w:type="fixed"/>
        <w:tblCellMar>
          <w:top w:w="0" w:type="dxa"/>
          <w:left w:w="123" w:type="dxa"/>
          <w:bottom w:w="0" w:type="dxa"/>
          <w:right w:w="108" w:type="dxa"/>
        </w:tblCellMar>
        <w:tblLook w:firstRow="1" w:noVBand="1" w:lastRow="0" w:firstColumn="1" w:lastColumn="0" w:noHBand="0" w:val="04a0"/>
      </w:tblPr>
      <w:tblGrid>
        <w:gridCol w:w="2235"/>
        <w:gridCol w:w="4393"/>
      </w:tblGrid>
      <w:tr>
        <w:trPr>
          <w:cantSplit w:val="true"/>
        </w:trPr>
        <w:tc>
          <w:tcPr>
            <w:tcW w:w="2235" w:type="dxa"/>
            <w:vMerge w:val="restart"/>
            <w:tcBorders>
              <w:top w:val="nil"/>
              <w:left w:val="nil"/>
              <w:bottom w:val="nil"/>
              <w:right w:val="nil"/>
            </w:tcBorders>
            <w:shd w:fill="auto" w:val="clear"/>
            <w:vAlign w:val="center"/>
          </w:tcPr>
          <w:p>
            <w:pPr>
              <w:pStyle w:val="Nvel02"/>
              <w:widowControl w:val="false"/>
              <w:numPr>
                <w:ilvl w:val="0"/>
                <w:numId w:val="0"/>
              </w:numPr>
              <w:shd w:val="clear" w:fill="FFFFFF"/>
              <w:suppressAutoHyphens w:val="true"/>
              <w:spacing w:before="120" w:after="120"/>
              <w:ind w:left="0" w:hanging="0"/>
              <w:rPr>
                <w:rFonts w:ascii="Calibri" w:hAnsi="Calibri"/>
                <w:color w:val="000000"/>
                <w:sz w:val="22"/>
                <w:szCs w:val="22"/>
              </w:rPr>
            </w:pPr>
            <w:r>
              <w:rPr>
                <w:rFonts w:ascii="Times New Roman" w:hAnsi="Times New Roman"/>
                <w:b w:val="false"/>
                <w:bCs w:val="false"/>
                <w:i w:val="false"/>
                <w:iCs w:val="false"/>
                <w:color w:val="000000"/>
                <w:kern w:val="0"/>
                <w:sz w:val="22"/>
                <w:szCs w:val="22"/>
                <w:shd w:fill="auto" w:val="clear"/>
                <w:lang w:val="pt-BR" w:bidi="ar-SA"/>
              </w:rPr>
              <w:t>SG =</w:t>
            </w:r>
          </w:p>
        </w:tc>
        <w:tc>
          <w:tcPr>
            <w:tcW w:w="4393" w:type="dxa"/>
            <w:tcBorders>
              <w:top w:val="nil"/>
              <w:left w:val="nil"/>
              <w:right w:val="nil"/>
            </w:tcBorders>
            <w:shd w:fill="auto" w:val="clear"/>
            <w:vAlign w:val="bottom"/>
          </w:tcPr>
          <w:p>
            <w:pPr>
              <w:pStyle w:val="Nvel02"/>
              <w:widowControl w:val="false"/>
              <w:numPr>
                <w:ilvl w:val="0"/>
                <w:numId w:val="0"/>
              </w:numPr>
              <w:shd w:val="clear" w:fill="FFFFFF"/>
              <w:suppressAutoHyphens w:val="true"/>
              <w:spacing w:before="120" w:after="120"/>
              <w:ind w:left="0" w:hanging="0"/>
              <w:rPr>
                <w:rFonts w:ascii="Calibri" w:hAnsi="Calibri"/>
                <w:color w:val="000000"/>
                <w:sz w:val="22"/>
                <w:szCs w:val="22"/>
              </w:rPr>
            </w:pPr>
            <w:r>
              <w:rPr>
                <w:rFonts w:ascii="Times New Roman" w:hAnsi="Times New Roman"/>
                <w:b w:val="false"/>
                <w:bCs w:val="false"/>
                <w:i w:val="false"/>
                <w:iCs w:val="false"/>
                <w:color w:val="000000"/>
                <w:kern w:val="0"/>
                <w:sz w:val="22"/>
                <w:szCs w:val="22"/>
                <w:shd w:fill="auto" w:val="clear"/>
                <w:lang w:val="pt-BR" w:bidi="ar-SA"/>
              </w:rPr>
              <w:t>Ativo Total</w:t>
            </w:r>
          </w:p>
        </w:tc>
      </w:tr>
      <w:tr>
        <w:trPr>
          <w:cantSplit w:val="true"/>
        </w:trPr>
        <w:tc>
          <w:tcPr>
            <w:tcW w:w="2235" w:type="dxa"/>
            <w:vMerge w:val="continue"/>
            <w:tcBorders>
              <w:top w:val="nil"/>
              <w:left w:val="nil"/>
              <w:bottom w:val="nil"/>
              <w:right w:val="nil"/>
            </w:tcBorders>
            <w:shd w:fill="auto" w:val="clear"/>
          </w:tcPr>
          <w:p>
            <w:pPr>
              <w:pStyle w:val="Nvel02"/>
              <w:widowControl w:val="false"/>
              <w:numPr>
                <w:ilvl w:val="0"/>
                <w:numId w:val="0"/>
              </w:numPr>
              <w:shd w:val="clear" w:fill="FFFFFF"/>
              <w:suppressAutoHyphens w:val="true"/>
              <w:spacing w:before="120" w:after="120"/>
              <w:ind w:left="0" w:hanging="0"/>
              <w:rPr>
                <w:rFonts w:ascii="Times New Roman" w:hAnsi="Times New Roman"/>
                <w:b w:val="false"/>
                <w:b w:val="false"/>
                <w:bCs w:val="false"/>
                <w:i w:val="false"/>
                <w:i w:val="false"/>
                <w:iCs w:val="false"/>
                <w:color w:val="000000"/>
                <w:sz w:val="22"/>
                <w:szCs w:val="22"/>
                <w:highlight w:val="yellow"/>
              </w:rPr>
            </w:pPr>
            <w:r>
              <w:rPr>
                <w:rFonts w:ascii="Times New Roman" w:hAnsi="Times New Roman"/>
                <w:b w:val="false"/>
                <w:bCs w:val="false"/>
                <w:i w:val="false"/>
                <w:iCs w:val="false"/>
                <w:color w:val="000000"/>
                <w:sz w:val="22"/>
                <w:szCs w:val="22"/>
                <w:highlight w:val="yellow"/>
              </w:rPr>
            </w:r>
          </w:p>
        </w:tc>
        <w:tc>
          <w:tcPr>
            <w:tcW w:w="4393" w:type="dxa"/>
            <w:tcBorders>
              <w:top w:val="nil"/>
              <w:left w:val="nil"/>
              <w:bottom w:val="nil"/>
              <w:right w:val="nil"/>
            </w:tcBorders>
            <w:shd w:fill="auto" w:val="clear"/>
          </w:tcPr>
          <w:p>
            <w:pPr>
              <w:pStyle w:val="Nvel02"/>
              <w:widowControl w:val="false"/>
              <w:numPr>
                <w:ilvl w:val="0"/>
                <w:numId w:val="0"/>
              </w:numPr>
              <w:shd w:val="clear" w:fill="FFFFFF"/>
              <w:suppressAutoHyphens w:val="true"/>
              <w:spacing w:before="120" w:after="120"/>
              <w:ind w:left="0" w:hanging="0"/>
              <w:rPr>
                <w:rFonts w:ascii="Calibri" w:hAnsi="Calibri"/>
                <w:color w:val="000000"/>
                <w:sz w:val="22"/>
                <w:szCs w:val="22"/>
              </w:rPr>
            </w:pPr>
            <w:r>
              <w:rPr>
                <w:rFonts w:ascii="Times New Roman" w:hAnsi="Times New Roman"/>
                <w:b w:val="false"/>
                <w:bCs w:val="false"/>
                <w:i w:val="false"/>
                <w:iCs w:val="false"/>
                <w:color w:val="000000"/>
                <w:kern w:val="0"/>
                <w:sz w:val="22"/>
                <w:szCs w:val="22"/>
                <w:shd w:fill="auto" w:val="clear"/>
                <w:lang w:val="pt-BR" w:bidi="ar-SA"/>
              </w:rPr>
              <w:t>Passivo Circulante + Passivo Não Circulante</w:t>
            </w:r>
          </w:p>
        </w:tc>
      </w:tr>
    </w:tbl>
    <w:p>
      <w:pPr>
        <w:pStyle w:val="Nvel02"/>
        <w:numPr>
          <w:ilvl w:val="0"/>
          <w:numId w:val="0"/>
        </w:numPr>
        <w:shd w:val="clear" w:fill="FFFFFF"/>
        <w:ind w:left="0" w:hanging="0"/>
        <w:rPr>
          <w:rFonts w:ascii="Times New Roman" w:hAnsi="Times New Roman"/>
          <w:b w:val="false"/>
          <w:b w:val="false"/>
          <w:bCs w:val="false"/>
          <w:i w:val="false"/>
          <w:i w:val="false"/>
          <w:iCs w:val="false"/>
          <w:color w:val="000000"/>
          <w:sz w:val="22"/>
          <w:szCs w:val="22"/>
          <w:highlight w:val="yellow"/>
        </w:rPr>
      </w:pPr>
      <w:r>
        <w:rPr>
          <w:rFonts w:ascii="Times New Roman" w:hAnsi="Times New Roman"/>
          <w:b w:val="false"/>
          <w:bCs w:val="false"/>
          <w:i w:val="false"/>
          <w:iCs w:val="false"/>
          <w:color w:val="000000"/>
          <w:sz w:val="22"/>
          <w:szCs w:val="22"/>
          <w:highlight w:val="yellow"/>
        </w:rPr>
      </w:r>
    </w:p>
    <w:tbl>
      <w:tblPr>
        <w:tblStyle w:val="Tabelacomgrade"/>
        <w:tblW w:w="4786" w:type="dxa"/>
        <w:jc w:val="left"/>
        <w:tblInd w:w="1133" w:type="dxa"/>
        <w:tblLayout w:type="fixed"/>
        <w:tblCellMar>
          <w:top w:w="0" w:type="dxa"/>
          <w:left w:w="123" w:type="dxa"/>
          <w:bottom w:w="0" w:type="dxa"/>
          <w:right w:w="108" w:type="dxa"/>
        </w:tblCellMar>
        <w:tblLook w:firstRow="1" w:noVBand="1" w:lastRow="0" w:firstColumn="1" w:lastColumn="0" w:noHBand="0" w:val="04a0"/>
      </w:tblPr>
      <w:tblGrid>
        <w:gridCol w:w="2235"/>
        <w:gridCol w:w="2550"/>
      </w:tblGrid>
      <w:tr>
        <w:trPr/>
        <w:tc>
          <w:tcPr>
            <w:tcW w:w="2235" w:type="dxa"/>
            <w:vMerge w:val="restart"/>
            <w:tcBorders>
              <w:top w:val="nil"/>
              <w:left w:val="nil"/>
              <w:bottom w:val="nil"/>
              <w:right w:val="nil"/>
            </w:tcBorders>
            <w:shd w:fill="auto" w:val="clear"/>
            <w:vAlign w:val="center"/>
          </w:tcPr>
          <w:p>
            <w:pPr>
              <w:pStyle w:val="Nvel02"/>
              <w:widowControl w:val="false"/>
              <w:numPr>
                <w:ilvl w:val="0"/>
                <w:numId w:val="0"/>
              </w:numPr>
              <w:shd w:val="clear" w:fill="FFFFFF"/>
              <w:suppressAutoHyphens w:val="true"/>
              <w:spacing w:before="120" w:after="120"/>
              <w:ind w:left="0" w:hanging="0"/>
              <w:rPr>
                <w:rFonts w:ascii="Calibri" w:hAnsi="Calibri"/>
                <w:color w:val="000000"/>
                <w:sz w:val="22"/>
                <w:szCs w:val="22"/>
              </w:rPr>
            </w:pPr>
            <w:r>
              <w:rPr>
                <w:rFonts w:ascii="Times New Roman" w:hAnsi="Times New Roman"/>
                <w:b w:val="false"/>
                <w:bCs w:val="false"/>
                <w:i w:val="false"/>
                <w:iCs w:val="false"/>
                <w:color w:val="000000"/>
                <w:kern w:val="0"/>
                <w:sz w:val="22"/>
                <w:szCs w:val="22"/>
                <w:shd w:fill="auto" w:val="clear"/>
                <w:lang w:val="pt-BR" w:bidi="ar-SA"/>
              </w:rPr>
              <w:t>LC =</w:t>
            </w:r>
          </w:p>
        </w:tc>
        <w:tc>
          <w:tcPr>
            <w:tcW w:w="2550" w:type="dxa"/>
            <w:tcBorders>
              <w:top w:val="nil"/>
              <w:left w:val="nil"/>
              <w:right w:val="nil"/>
            </w:tcBorders>
            <w:shd w:fill="auto" w:val="clear"/>
            <w:vAlign w:val="bottom"/>
          </w:tcPr>
          <w:p>
            <w:pPr>
              <w:pStyle w:val="Nvel02"/>
              <w:widowControl w:val="false"/>
              <w:numPr>
                <w:ilvl w:val="0"/>
                <w:numId w:val="0"/>
              </w:numPr>
              <w:shd w:val="clear" w:fill="FFFFFF"/>
              <w:suppressAutoHyphens w:val="true"/>
              <w:spacing w:before="120" w:after="120"/>
              <w:ind w:left="0" w:hanging="0"/>
              <w:rPr>
                <w:rFonts w:ascii="Calibri" w:hAnsi="Calibri"/>
                <w:color w:val="000000"/>
                <w:sz w:val="22"/>
                <w:szCs w:val="22"/>
              </w:rPr>
            </w:pPr>
            <w:r>
              <w:rPr>
                <w:rFonts w:ascii="Times New Roman" w:hAnsi="Times New Roman"/>
                <w:b w:val="false"/>
                <w:bCs w:val="false"/>
                <w:i w:val="false"/>
                <w:iCs w:val="false"/>
                <w:color w:val="000000"/>
                <w:kern w:val="0"/>
                <w:sz w:val="22"/>
                <w:szCs w:val="22"/>
                <w:shd w:fill="auto" w:val="clear"/>
                <w:lang w:val="pt-BR" w:bidi="ar-SA"/>
              </w:rPr>
              <w:t>Ativo Circulante</w:t>
            </w:r>
          </w:p>
        </w:tc>
      </w:tr>
      <w:tr>
        <w:trPr/>
        <w:tc>
          <w:tcPr>
            <w:tcW w:w="2235" w:type="dxa"/>
            <w:vMerge w:val="continue"/>
            <w:tcBorders>
              <w:top w:val="nil"/>
              <w:left w:val="nil"/>
              <w:bottom w:val="nil"/>
              <w:right w:val="nil"/>
            </w:tcBorders>
            <w:shd w:fill="auto" w:val="clear"/>
          </w:tcPr>
          <w:p>
            <w:pPr>
              <w:pStyle w:val="Nvel02"/>
              <w:widowControl w:val="false"/>
              <w:numPr>
                <w:ilvl w:val="0"/>
                <w:numId w:val="0"/>
              </w:numPr>
              <w:shd w:val="clear" w:fill="FFFFFF"/>
              <w:suppressAutoHyphens w:val="true"/>
              <w:spacing w:before="120" w:after="120"/>
              <w:ind w:left="0" w:hanging="0"/>
              <w:rPr>
                <w:rFonts w:ascii="Times New Roman" w:hAnsi="Times New Roman"/>
                <w:b w:val="false"/>
                <w:b w:val="false"/>
                <w:bCs w:val="false"/>
                <w:i w:val="false"/>
                <w:i w:val="false"/>
                <w:iCs w:val="false"/>
                <w:color w:val="000000"/>
                <w:sz w:val="22"/>
                <w:szCs w:val="22"/>
              </w:rPr>
            </w:pPr>
            <w:r>
              <w:rPr>
                <w:rFonts w:ascii="Times New Roman" w:hAnsi="Times New Roman"/>
                <w:b w:val="false"/>
                <w:bCs w:val="false"/>
                <w:i w:val="false"/>
                <w:iCs w:val="false"/>
                <w:color w:val="000000"/>
                <w:sz w:val="22"/>
                <w:szCs w:val="22"/>
              </w:rPr>
            </w:r>
          </w:p>
        </w:tc>
        <w:tc>
          <w:tcPr>
            <w:tcW w:w="2550" w:type="dxa"/>
            <w:tcBorders>
              <w:top w:val="nil"/>
              <w:left w:val="nil"/>
              <w:bottom w:val="nil"/>
              <w:right w:val="nil"/>
            </w:tcBorders>
            <w:shd w:fill="auto" w:val="clear"/>
          </w:tcPr>
          <w:p>
            <w:pPr>
              <w:pStyle w:val="Nvel02"/>
              <w:widowControl w:val="false"/>
              <w:numPr>
                <w:ilvl w:val="0"/>
                <w:numId w:val="0"/>
              </w:numPr>
              <w:shd w:val="clear" w:fill="FFFFFF"/>
              <w:suppressAutoHyphens w:val="true"/>
              <w:spacing w:before="120" w:after="120"/>
              <w:ind w:left="0" w:hanging="0"/>
              <w:rPr>
                <w:rFonts w:ascii="Calibri" w:hAnsi="Calibri"/>
                <w:color w:val="000000"/>
                <w:sz w:val="22"/>
                <w:szCs w:val="22"/>
              </w:rPr>
            </w:pPr>
            <w:r>
              <w:rPr>
                <w:rFonts w:ascii="Times New Roman" w:hAnsi="Times New Roman"/>
                <w:b w:val="false"/>
                <w:bCs w:val="false"/>
                <w:i w:val="false"/>
                <w:iCs w:val="false"/>
                <w:color w:val="000000"/>
                <w:kern w:val="0"/>
                <w:sz w:val="22"/>
                <w:szCs w:val="22"/>
                <w:shd w:fill="auto" w:val="clear"/>
                <w:lang w:val="pt-BR" w:bidi="ar-SA"/>
              </w:rPr>
              <w:t>Passivo Circulante</w:t>
            </w:r>
            <w:bookmarkStart w:id="17" w:name="_Hlk169694941"/>
            <w:bookmarkStart w:id="18" w:name="_Hlk190941228"/>
            <w:bookmarkEnd w:id="17"/>
            <w:bookmarkEnd w:id="18"/>
          </w:p>
        </w:tc>
      </w:tr>
    </w:tbl>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shd w:fill="FFFFFF" w:val="clear"/>
        </w:rPr>
        <w:t>Caso a empresa interessada apresente resultado inferior ou igual a 1 (um) em qualquer dos índices de Liquidez Geral (LG), Solvência Geral (SG) e Liquidez Corrente (LC), será exigido para fins de habilitação capital mínimo de 10% do valor total estimado da contratação.</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bookmarkStart w:id="19" w:name="_Hlk190941246"/>
      <w:r>
        <w:rPr>
          <w:rFonts w:ascii="Times New Roman" w:hAnsi="Times New Roman"/>
          <w:b w:val="false"/>
          <w:bCs w:val="false"/>
          <w:i w:val="false"/>
          <w:iCs w:val="false"/>
          <w:color w:val="000000"/>
          <w:sz w:val="22"/>
          <w:szCs w:val="22"/>
          <w:shd w:fill="FFFFFF" w:val="clear"/>
        </w:rPr>
        <w:t xml:space="preserve">Os indicadores fixados acima deverão ser atingidos em cada um dos dois últimos exercícios sociais, sob pena de </w:t>
      </w:r>
      <w:commentRangeStart w:id="31"/>
      <w:r>
        <w:rPr>
          <w:rFonts w:ascii="Times New Roman" w:hAnsi="Times New Roman"/>
          <w:b w:val="false"/>
          <w:bCs w:val="false"/>
          <w:i w:val="false"/>
          <w:iCs w:val="false"/>
          <w:color w:val="000000"/>
          <w:sz w:val="22"/>
          <w:szCs w:val="22"/>
          <w:shd w:fill="FFFFFF" w:val="clear"/>
        </w:rPr>
        <w:t>inabilitação</w:t>
      </w:r>
      <w:bookmarkEnd w:id="19"/>
      <w:r>
        <w:rPr>
          <w:rFonts w:ascii="Times New Roman" w:hAnsi="Times New Roman"/>
          <w:b w:val="false"/>
          <w:bCs w:val="false"/>
          <w:i w:val="false"/>
          <w:iCs w:val="false"/>
          <w:color w:val="000000"/>
          <w:sz w:val="22"/>
          <w:szCs w:val="22"/>
          <w:shd w:fill="FFFFFF" w:val="clear"/>
        </w:rPr>
      </w:r>
      <w:commentRangeEnd w:id="31"/>
      <w:r>
        <w:commentReference w:id="31"/>
      </w:r>
      <w:r>
        <w:rPr>
          <w:rFonts w:ascii="Times New Roman" w:hAnsi="Times New Roman"/>
          <w:b w:val="false"/>
          <w:bCs w:val="false"/>
          <w:i w:val="false"/>
          <w:iCs w:val="false"/>
          <w:color w:val="000000"/>
          <w:sz w:val="22"/>
          <w:szCs w:val="22"/>
          <w:shd w:fill="FFFFFF" w:val="clear"/>
        </w:rPr>
        <w:t xml:space="preserve">; </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Os documentos referidos acima limitar-se-ão ao último exercício no caso de a pessoa jurídica ter sido constituída há menos de 2 (dois) anos;</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bookmarkStart w:id="20" w:name="_Hlk170895502"/>
      <w:r>
        <w:rPr>
          <w:rFonts w:ascii="Times New Roman" w:hAnsi="Times New Roman"/>
          <w:b w:val="false"/>
          <w:bCs w:val="false"/>
          <w:i w:val="false"/>
          <w:iCs w:val="false"/>
          <w:color w:val="000000"/>
          <w:sz w:val="22"/>
          <w:szCs w:val="22"/>
        </w:rPr>
        <w:t>Os documentos referidos acima deverão ser exigidos com base no limite definido pela Receita Federal do Brasil para transmissão da Escrituração Contábil Digital - ECD ao Sped.</w:t>
      </w:r>
      <w:bookmarkEnd w:id="20"/>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As empresas criadas no exercício financeiro da licitação/contratação deverão atender a todas as exigências da habilitação e poderão substituir os demonstrativos contábeis pelo balanço de abertura.</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O atendimento dos índices econômicos previstos neste item deverá ser atestado mediante declaração assinada por profissional habilitado da área contábil, apresentada pelo fornecedor.</w:t>
      </w:r>
    </w:p>
    <w:p>
      <w:pPr>
        <w:pStyle w:val="Nvel1SemNumerao"/>
        <w:widowControl/>
        <w:numPr>
          <w:ilvl w:val="0"/>
          <w:numId w:val="0"/>
        </w:numPr>
        <w:suppressAutoHyphens w:val="true"/>
        <w:bidi w:val="0"/>
        <w:spacing w:lineRule="auto" w:line="276" w:before="120" w:after="120"/>
        <w:ind w:left="1709" w:right="0" w:hanging="0"/>
        <w:contextualSpacing/>
        <w:jc w:val="left"/>
        <w:rPr>
          <w:rFonts w:ascii="Times New Roman" w:hAnsi="Times New Roman" w:eastAsia="Arial" w:cs="Arial"/>
          <w:i w:val="false"/>
          <w:i w:val="false"/>
          <w:iCs w:val="false"/>
          <w:color w:val="000000"/>
          <w:kern w:val="0"/>
          <w:sz w:val="22"/>
          <w:szCs w:val="22"/>
          <w:lang w:val="pt-BR" w:eastAsia="pt-BR" w:bidi="ar-SA"/>
        </w:rPr>
      </w:pPr>
      <w:r>
        <w:rPr>
          <w:rFonts w:eastAsia="Arial" w:cs="Arial"/>
          <w:i w:val="false"/>
          <w:iCs w:val="false"/>
          <w:color w:val="000000"/>
          <w:kern w:val="0"/>
          <w:sz w:val="22"/>
          <w:szCs w:val="22"/>
          <w:lang w:val="pt-BR" w:eastAsia="pt-BR" w:bidi="ar-SA"/>
        </w:rPr>
        <w:t>Qualificação Técnica</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bookmarkStart w:id="21" w:name="_Hlk171010459"/>
      <w:bookmarkEnd w:id="21"/>
      <w:r>
        <w:rPr>
          <w:rFonts w:ascii="Times New Roman" w:hAnsi="Times New Roman"/>
          <w:b w:val="false"/>
          <w:bCs w:val="false"/>
          <w:i w:val="false"/>
          <w:iCs w:val="false"/>
          <w:color w:val="000000"/>
          <w:sz w:val="22"/>
          <w:szCs w:val="22"/>
        </w:rPr>
        <w:t>Sociedades empresárias estrangeiras atenderão à exigência por meio da apresentação, no momento da assinatura do contrato ou do aceite de instrumento equivalente, da solicitação de registro perante a entidade profissional competente no Brasil.</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bookmarkStart w:id="22" w:name="_Hlk171013756"/>
      <w:bookmarkStart w:id="23" w:name="_Hlk171010459_Copia_1"/>
      <w:bookmarkEnd w:id="22"/>
      <w:bookmarkEnd w:id="23"/>
      <w:commentRangeStart w:id="32"/>
      <w:r>
        <w:rPr>
          <w:rFonts w:ascii="Times New Roman" w:hAnsi="Times New Roman"/>
          <w:b w:val="false"/>
          <w:bCs w:val="false"/>
          <w:i w:val="false"/>
          <w:iCs w:val="false"/>
          <w:color w:val="000000"/>
          <w:sz w:val="22"/>
          <w:szCs w:val="22"/>
        </w:rPr>
        <w:t>Comprovação de aptidão para o fornecimento de bens similares, de complexidade tecnológica e operacional equivalente ou superior à do objeto desta contratação, ou do item pertinente, por meio da apresentação de certidões ou atestados emitidos por pessoas jurídicas de direito público ou privado, ou pelo conselho profissional competente, quando for o caso.</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Serão admitidos, para fins de comprovação de quantitativo mínimo exigido, a apresentação e o somatório de diferentes atestados relativos a contratos executados de forma concomitante.</w:t>
      </w:r>
      <w:commentRangeEnd w:id="32"/>
      <w:r>
        <w:commentReference w:id="32"/>
      </w:r>
      <w:r>
        <w:rPr>
          <w:rFonts w:ascii="Times New Roman" w:hAnsi="Times New Roman"/>
          <w:b w:val="false"/>
          <w:bCs w:val="false"/>
          <w:i w:val="false"/>
          <w:iCs w:val="false"/>
          <w:color w:val="000000"/>
          <w:sz w:val="22"/>
          <w:szCs w:val="22"/>
        </w:rPr>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commentRangeStart w:id="33"/>
      <w:r>
        <w:rPr>
          <w:rFonts w:ascii="Times New Roman" w:hAnsi="Times New Roman"/>
          <w:b w:val="false"/>
          <w:bCs w:val="false"/>
          <w:i w:val="false"/>
          <w:iCs w:val="false"/>
          <w:color w:val="000000"/>
          <w:sz w:val="22"/>
          <w:szCs w:val="22"/>
        </w:rPr>
        <w:t>Os atestados de capacidade técnica poderão ser apresentados em nome da matriz ou da filial do fornecedor.</w:t>
      </w:r>
      <w:commentRangeEnd w:id="33"/>
      <w:r>
        <w:commentReference w:id="33"/>
      </w:r>
      <w:r>
        <w:rPr>
          <w:rFonts w:ascii="Times New Roman" w:hAnsi="Times New Roman"/>
          <w:b w:val="false"/>
          <w:bCs w:val="false"/>
          <w:i w:val="false"/>
          <w:iCs w:val="false"/>
          <w:color w:val="000000"/>
          <w:sz w:val="22"/>
          <w:szCs w:val="22"/>
        </w:rPr>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O fornecedor disponibilizará todas as informações necessárias à comprovação da legitimidade dos atestados, apresentando, quando solicitado pela Administração, cópia do contrato que deu suporte à contratação, endereço atual do Contratante e local em que foi executado o objeto contratado, dentre outros documentos.</w:t>
      </w:r>
    </w:p>
    <w:p>
      <w:pPr>
        <w:pStyle w:val="Nvel1SemNumerao"/>
        <w:widowControl/>
        <w:numPr>
          <w:ilvl w:val="0"/>
          <w:numId w:val="1"/>
        </w:numPr>
        <w:suppressAutoHyphens w:val="true"/>
        <w:bidi w:val="0"/>
        <w:spacing w:lineRule="auto" w:line="276" w:before="120" w:after="120"/>
        <w:ind w:left="0" w:right="0" w:hanging="0"/>
        <w:contextualSpacing/>
        <w:jc w:val="left"/>
        <w:rPr>
          <w:rFonts w:ascii="Calibri" w:hAnsi="Calibri"/>
          <w:color w:val="000000"/>
          <w:sz w:val="22"/>
          <w:szCs w:val="22"/>
        </w:rPr>
      </w:pPr>
      <w:bookmarkStart w:id="24" w:name="_Hlk1710137561"/>
      <w:bookmarkEnd w:id="24"/>
      <w:r>
        <w:rPr>
          <w:rFonts w:eastAsia="Arial" w:cs="Arial"/>
          <w:i w:val="false"/>
          <w:iCs w:val="false"/>
          <w:color w:val="000000"/>
          <w:kern w:val="0"/>
          <w:sz w:val="22"/>
          <w:szCs w:val="22"/>
          <w:lang w:val="pt-BR" w:eastAsia="pt-BR" w:bidi="ar-SA"/>
        </w:rPr>
        <w:t>Disposições gerais sobre habilitação</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Quando permitida a participação de empresas estrangeiras que não funcionem no País, as exigências de habilitação serão atendidas mediante documentos equivalentes, inicialmente apresentados em tradução livre.</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Não serão aceitos documentos de habilitação com indicação de CNPJ/CPF diferentes, salvo aqueles legalmente permitidos.</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pPr>
        <w:pStyle w:val="Nvel02"/>
        <w:numPr>
          <w:ilvl w:val="1"/>
          <w:numId w:val="1"/>
        </w:numPr>
        <w:shd w:val="clear" w:fill="FFFFFF"/>
        <w:ind w:left="0" w:hanging="0"/>
        <w:rPr>
          <w:rFonts w:ascii="Times New Roman" w:hAnsi="Times New Roman"/>
          <w:b w:val="false"/>
          <w:b w:val="false"/>
          <w:bCs w:val="false"/>
          <w:i w:val="false"/>
          <w:i w:val="false"/>
          <w:iCs w:val="false"/>
          <w:sz w:val="22"/>
          <w:szCs w:val="22"/>
        </w:rPr>
      </w:pPr>
      <w:bookmarkStart w:id="25" w:name="_Hlk82473550"/>
      <w:r>
        <w:rPr>
          <w:rFonts w:ascii="Times New Roman" w:hAnsi="Times New Roman"/>
          <w:b w:val="false"/>
          <w:bCs w:val="false"/>
          <w:i w:val="false"/>
          <w:iCs w:val="false"/>
          <w:color w:val="000000"/>
          <w:sz w:val="22"/>
          <w:szCs w:val="22"/>
        </w:rPr>
        <w:t>Serão aceitos registros de CNPJ de fornecedor matriz e filial com diferenças de números de documentos pertinentes ao CND e ao CRF/FGTS, quando for comprovada a centralização do recolhimento dessas contribuições.</w:t>
      </w:r>
      <w:bookmarkEnd w:id="25"/>
    </w:p>
    <w:p>
      <w:pPr>
        <w:pStyle w:val="Nvel02"/>
        <w:shd w:val="clear" w:fill="FFFFFF"/>
        <w:ind w:left="0" w:hanging="0"/>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sz w:val="22"/>
          <w:szCs w:val="22"/>
        </w:rPr>
      </w:r>
    </w:p>
    <w:p>
      <w:pPr>
        <w:pStyle w:val="Nivel01"/>
        <w:numPr>
          <w:ilvl w:val="0"/>
          <w:numId w:val="1"/>
        </w:numPr>
        <w:ind w:left="357" w:right="0" w:hanging="357"/>
        <w:rPr/>
      </w:pPr>
      <w:commentRangeStart w:id="34"/>
      <w:r>
        <w:rPr>
          <w:b/>
          <w:bCs/>
          <w:i w:val="false"/>
          <w:iCs w:val="false"/>
          <w:color w:val="000000"/>
          <w:sz w:val="22"/>
          <w:szCs w:val="22"/>
        </w:rPr>
        <w:t xml:space="preserve">ESTIMATIVAS DO VALOR DA </w:t>
      </w:r>
      <w:commentRangeStart w:id="35"/>
      <w:r>
        <w:rPr>
          <w:b/>
          <w:bCs/>
          <w:i w:val="false"/>
          <w:iCs w:val="false"/>
          <w:color w:val="000000"/>
          <w:sz w:val="22"/>
          <w:szCs w:val="22"/>
        </w:rPr>
        <w:t>CONTRATAÇÃO</w:t>
      </w:r>
      <w:r>
        <w:rPr>
          <w:b/>
          <w:bCs/>
          <w:i w:val="false"/>
          <w:iCs w:val="false"/>
          <w:color w:val="000000"/>
          <w:sz w:val="22"/>
          <w:szCs w:val="22"/>
        </w:rPr>
      </w:r>
      <w:commentRangeEnd w:id="34"/>
      <w:r>
        <w:commentReference w:id="34"/>
      </w:r>
      <w:commentRangeEnd w:id="35"/>
      <w:r>
        <w:commentReference w:id="35"/>
      </w:r>
      <w:r>
        <w:rPr>
          <w:b/>
          <w:bCs/>
          <w:i w:val="false"/>
          <w:iCs w:val="false"/>
          <w:color w:val="000000"/>
          <w:sz w:val="22"/>
          <w:szCs w:val="22"/>
        </w:rPr>
      </w:r>
    </w:p>
    <w:p>
      <w:pPr>
        <w:pStyle w:val="Nivel01"/>
        <w:numPr>
          <w:ilvl w:val="1"/>
          <w:numId w:val="1"/>
        </w:numPr>
        <w:ind w:left="357" w:right="0" w:hanging="357"/>
        <w:rPr/>
      </w:pPr>
      <w:r>
        <w:rPr>
          <w:b w:val="false"/>
          <w:bCs w:val="false"/>
          <w:i w:val="false"/>
          <w:iCs w:val="false"/>
          <w:color w:val="000000"/>
          <w:sz w:val="22"/>
          <w:szCs w:val="22"/>
        </w:rPr>
        <w:t xml:space="preserve">O custo estimado total da contratação, que corresponde ao valor máximo aceitável, é de </w:t>
      </w:r>
      <w:r>
        <w:rPr>
          <w:b/>
          <w:bCs/>
          <w:i w:val="false"/>
          <w:iCs w:val="false"/>
          <w:color w:val="000000"/>
          <w:sz w:val="22"/>
          <w:szCs w:val="22"/>
        </w:rPr>
        <w:t>R$ 2.</w:t>
      </w:r>
      <w:r>
        <w:rPr>
          <w:b/>
          <w:bCs/>
          <w:i w:val="false"/>
          <w:iCs w:val="false"/>
          <w:color w:val="000000"/>
          <w:sz w:val="22"/>
          <w:szCs w:val="22"/>
        </w:rPr>
        <w:t>702</w:t>
      </w:r>
      <w:r>
        <w:rPr>
          <w:b/>
          <w:bCs/>
          <w:i w:val="false"/>
          <w:iCs w:val="false"/>
          <w:color w:val="000000"/>
          <w:sz w:val="22"/>
          <w:szCs w:val="22"/>
        </w:rPr>
        <w:t>.</w:t>
      </w:r>
      <w:r>
        <w:rPr>
          <w:b/>
          <w:bCs/>
          <w:i w:val="false"/>
          <w:iCs w:val="false"/>
          <w:color w:val="000000"/>
          <w:sz w:val="22"/>
          <w:szCs w:val="22"/>
        </w:rPr>
        <w:t>400,19</w:t>
      </w:r>
      <w:r>
        <w:rPr>
          <w:b/>
          <w:bCs/>
          <w:i w:val="false"/>
          <w:iCs w:val="false"/>
          <w:color w:val="000000"/>
          <w:sz w:val="22"/>
          <w:szCs w:val="22"/>
        </w:rPr>
        <w:t xml:space="preserve"> (Dois milhões, </w:t>
      </w:r>
      <w:r>
        <w:rPr>
          <w:b/>
          <w:bCs/>
          <w:i w:val="false"/>
          <w:iCs w:val="false"/>
          <w:color w:val="000000"/>
          <w:sz w:val="22"/>
          <w:szCs w:val="22"/>
        </w:rPr>
        <w:t>setecentos e dois mil, quatrocentos</w:t>
      </w:r>
      <w:r>
        <w:rPr>
          <w:b/>
          <w:bCs/>
          <w:i w:val="false"/>
          <w:iCs w:val="false"/>
          <w:color w:val="000000"/>
          <w:sz w:val="22"/>
          <w:szCs w:val="22"/>
        </w:rPr>
        <w:t xml:space="preserve"> reais e </w:t>
      </w:r>
      <w:r>
        <w:rPr>
          <w:b/>
          <w:bCs/>
          <w:i w:val="false"/>
          <w:iCs w:val="false"/>
          <w:color w:val="000000"/>
          <w:sz w:val="22"/>
          <w:szCs w:val="22"/>
        </w:rPr>
        <w:t>dezenove</w:t>
      </w:r>
      <w:r>
        <w:rPr>
          <w:b/>
          <w:bCs/>
          <w:i w:val="false"/>
          <w:iCs w:val="false"/>
          <w:color w:val="000000"/>
          <w:sz w:val="22"/>
          <w:szCs w:val="22"/>
        </w:rPr>
        <w:t xml:space="preserve"> centavos)</w:t>
      </w:r>
      <w:r>
        <w:rPr>
          <w:b w:val="false"/>
          <w:bCs w:val="false"/>
          <w:i w:val="false"/>
          <w:iCs w:val="false"/>
          <w:color w:val="000000"/>
          <w:sz w:val="22"/>
          <w:szCs w:val="22"/>
        </w:rPr>
        <w:t xml:space="preserve">, conforme custos unitários apostos no </w:t>
      </w:r>
      <w:r>
        <w:rPr>
          <w:b/>
          <w:bCs/>
          <w:i w:val="false"/>
          <w:iCs w:val="false"/>
          <w:color w:val="000000"/>
          <w:sz w:val="22"/>
          <w:szCs w:val="22"/>
        </w:rPr>
        <w:t>Apêndice II</w:t>
      </w:r>
      <w:r>
        <w:rPr>
          <w:b w:val="false"/>
          <w:bCs w:val="false"/>
          <w:i w:val="false"/>
          <w:iCs w:val="false"/>
          <w:color w:val="000000"/>
          <w:sz w:val="22"/>
          <w:szCs w:val="22"/>
        </w:rPr>
        <w:t xml:space="preserve"> deste instrumento.</w:t>
      </w:r>
    </w:p>
    <w:p>
      <w:pPr>
        <w:pStyle w:val="Nivel01"/>
        <w:numPr>
          <w:ilvl w:val="1"/>
          <w:numId w:val="1"/>
        </w:numPr>
        <w:ind w:left="357" w:right="0" w:hanging="357"/>
        <w:rPr>
          <w:rFonts w:ascii="Times New Roman" w:hAnsi="Times New Roman"/>
          <w:b w:val="false"/>
          <w:b w:val="false"/>
          <w:bCs w:val="false"/>
          <w:i w:val="false"/>
          <w:i w:val="false"/>
          <w:iCs w:val="false"/>
          <w:sz w:val="22"/>
          <w:szCs w:val="22"/>
        </w:rPr>
      </w:pPr>
      <w:r>
        <w:rPr>
          <w:b w:val="false"/>
          <w:bCs w:val="false"/>
          <w:i w:val="false"/>
          <w:iCs w:val="false"/>
          <w:color w:val="000000"/>
          <w:sz w:val="22"/>
          <w:szCs w:val="22"/>
          <w:shd w:fill="FFFFFF" w:val="clear"/>
        </w:rPr>
        <w:t>em caso de criação, alteração ou extinção de quaisquer tributos ou encargos legais ou superveniência de disposições legais, com comprovada repercussão sobre os preços registrados;</w:t>
      </w:r>
    </w:p>
    <w:p>
      <w:pPr>
        <w:pStyle w:val="Nivel01"/>
        <w:numPr>
          <w:ilvl w:val="1"/>
          <w:numId w:val="1"/>
        </w:numPr>
        <w:ind w:left="357" w:right="0" w:hanging="357"/>
        <w:rPr>
          <w:rFonts w:ascii="Times New Roman" w:hAnsi="Times New Roman"/>
          <w:b w:val="false"/>
          <w:b w:val="false"/>
          <w:bCs w:val="false"/>
          <w:i w:val="false"/>
          <w:i w:val="false"/>
          <w:iCs w:val="false"/>
          <w:sz w:val="22"/>
          <w:szCs w:val="22"/>
        </w:rPr>
      </w:pPr>
      <w:r>
        <w:rPr>
          <w:b w:val="false"/>
          <w:bCs w:val="false"/>
          <w:i w:val="false"/>
          <w:iCs w:val="false"/>
          <w:color w:val="000000"/>
          <w:sz w:val="22"/>
          <w:szCs w:val="22"/>
          <w:shd w:fill="FFFFFF" w:val="clear"/>
        </w:rPr>
        <w:t>serão reajustados os preços registrados, respeitada a contagem da anualidade e o índice previsto para a contratação; ou</w:t>
      </w:r>
    </w:p>
    <w:p>
      <w:pPr>
        <w:pStyle w:val="Nivel01"/>
        <w:numPr>
          <w:ilvl w:val="1"/>
          <w:numId w:val="1"/>
        </w:numPr>
        <w:ind w:left="357" w:right="0" w:hanging="357"/>
        <w:rPr>
          <w:rFonts w:ascii="Times New Roman" w:hAnsi="Times New Roman"/>
          <w:b w:val="false"/>
          <w:b w:val="false"/>
          <w:bCs w:val="false"/>
          <w:i w:val="false"/>
          <w:i w:val="false"/>
          <w:iCs w:val="false"/>
          <w:sz w:val="22"/>
          <w:szCs w:val="22"/>
        </w:rPr>
      </w:pPr>
      <w:r>
        <w:rPr>
          <w:b w:val="false"/>
          <w:bCs w:val="false"/>
          <w:i w:val="false"/>
          <w:iCs w:val="false"/>
          <w:color w:val="000000"/>
          <w:sz w:val="22"/>
          <w:szCs w:val="22"/>
          <w:shd w:fill="FFFFFF" w:val="clear"/>
        </w:rPr>
        <w:t>poderão ser repactuados, a pedido do interessado, conforme critérios definidos para a contratação.</w:t>
      </w:r>
    </w:p>
    <w:p>
      <w:pPr>
        <w:pStyle w:val="Normal"/>
        <w:ind w:hanging="0"/>
        <w:rPr>
          <w:rFonts w:ascii="Times New Roman" w:hAnsi="Times New Roman"/>
          <w:b w:val="false"/>
          <w:b w:val="false"/>
          <w:bCs w:val="false"/>
          <w:i w:val="false"/>
          <w:i w:val="false"/>
          <w:iCs w:val="false"/>
          <w:color w:val="000000"/>
          <w:sz w:val="22"/>
          <w:szCs w:val="22"/>
          <w:highlight w:val="white"/>
        </w:rPr>
      </w:pPr>
      <w:r>
        <w:rPr>
          <w:rFonts w:ascii="Times New Roman" w:hAnsi="Times New Roman"/>
          <w:b w:val="false"/>
          <w:bCs w:val="false"/>
          <w:i w:val="false"/>
          <w:iCs w:val="false"/>
          <w:color w:val="000000"/>
          <w:sz w:val="22"/>
          <w:szCs w:val="22"/>
          <w:highlight w:val="white"/>
        </w:rPr>
      </w:r>
    </w:p>
    <w:p>
      <w:pPr>
        <w:pStyle w:val="Nivel01"/>
        <w:widowControl/>
        <w:numPr>
          <w:ilvl w:val="0"/>
          <w:numId w:val="1"/>
        </w:numPr>
        <w:suppressAutoHyphens w:val="true"/>
        <w:bidi w:val="0"/>
        <w:spacing w:lineRule="auto" w:line="276" w:before="0" w:after="0"/>
        <w:ind w:left="357" w:right="0" w:hanging="357"/>
        <w:contextualSpacing/>
        <w:jc w:val="left"/>
        <w:rPr>
          <w:rFonts w:ascii="Times New Roman" w:hAnsi="Times New Roman" w:eastAsia="Arial" w:cs="Arial"/>
          <w:i w:val="false"/>
          <w:i w:val="false"/>
          <w:iCs w:val="false"/>
          <w:color w:val="000000"/>
          <w:kern w:val="0"/>
          <w:sz w:val="22"/>
          <w:szCs w:val="22"/>
          <w:lang w:val="pt-BR" w:eastAsia="pt-BR" w:bidi="ar-SA"/>
        </w:rPr>
      </w:pPr>
      <w:r>
        <w:rPr>
          <w:rFonts w:eastAsia="Arial" w:cs="Arial"/>
          <w:b/>
          <w:bCs/>
          <w:i w:val="false"/>
          <w:iCs w:val="false"/>
          <w:color w:val="000000"/>
          <w:kern w:val="0"/>
          <w:sz w:val="22"/>
          <w:szCs w:val="22"/>
          <w:lang w:val="pt-BR" w:eastAsia="pt-BR" w:bidi="ar-SA"/>
        </w:rPr>
        <w:t>ADEQUAÇÃO ORÇAMENTÁRIA</w:t>
      </w:r>
    </w:p>
    <w:p>
      <w:pPr>
        <w:pStyle w:val="Nivel01"/>
        <w:numPr>
          <w:ilvl w:val="1"/>
          <w:numId w:val="1"/>
        </w:numPr>
        <w:ind w:left="357" w:right="0" w:hanging="357"/>
        <w:rPr>
          <w:rFonts w:ascii="Times New Roman" w:hAnsi="Times New Roman"/>
          <w:b w:val="false"/>
          <w:b w:val="false"/>
          <w:bCs w:val="false"/>
          <w:i w:val="false"/>
          <w:i w:val="false"/>
          <w:iCs w:val="false"/>
          <w:sz w:val="22"/>
          <w:szCs w:val="22"/>
        </w:rPr>
      </w:pPr>
      <w:r>
        <w:rPr>
          <w:b w:val="false"/>
          <w:bCs w:val="false"/>
          <w:i w:val="false"/>
          <w:iCs w:val="false"/>
          <w:color w:val="000000"/>
          <w:sz w:val="22"/>
          <w:szCs w:val="22"/>
          <w:shd w:fill="FFFFFF" w:val="clear"/>
        </w:rPr>
        <w:t>A indicação da dotação orçamentária fica postergada para o momento da assinatura do contrato.</w:t>
      </w:r>
    </w:p>
    <w:p>
      <w:pPr>
        <w:pStyle w:val="Normal"/>
        <w:ind w:left="357" w:hanging="357"/>
        <w:rPr>
          <w:rFonts w:ascii="Times New Roman" w:hAnsi="Times New Roman"/>
          <w:b w:val="false"/>
          <w:b w:val="false"/>
          <w:bCs w:val="false"/>
          <w:i w:val="false"/>
          <w:i w:val="false"/>
          <w:iCs w:val="false"/>
          <w:color w:val="000000"/>
          <w:sz w:val="22"/>
          <w:szCs w:val="22"/>
          <w:highlight w:val="white"/>
        </w:rPr>
      </w:pPr>
      <w:r>
        <w:rPr>
          <w:rFonts w:ascii="Times New Roman" w:hAnsi="Times New Roman"/>
          <w:b w:val="false"/>
          <w:bCs w:val="false"/>
          <w:i w:val="false"/>
          <w:iCs w:val="false"/>
          <w:color w:val="000000"/>
          <w:sz w:val="22"/>
          <w:szCs w:val="22"/>
          <w:highlight w:val="white"/>
        </w:rPr>
      </w:r>
    </w:p>
    <w:p>
      <w:pPr>
        <w:pStyle w:val="Nivel01"/>
        <w:widowControl/>
        <w:numPr>
          <w:ilvl w:val="0"/>
          <w:numId w:val="1"/>
        </w:numPr>
        <w:suppressAutoHyphens w:val="true"/>
        <w:bidi w:val="0"/>
        <w:spacing w:lineRule="auto" w:line="276" w:before="0" w:after="0"/>
        <w:ind w:left="357" w:right="0" w:hanging="357"/>
        <w:contextualSpacing/>
        <w:jc w:val="left"/>
        <w:rPr>
          <w:rFonts w:ascii="Times New Roman" w:hAnsi="Times New Roman"/>
          <w:i w:val="false"/>
          <w:i w:val="false"/>
          <w:iCs w:val="false"/>
          <w:sz w:val="22"/>
          <w:szCs w:val="22"/>
        </w:rPr>
      </w:pPr>
      <w:r>
        <w:rPr>
          <w:rFonts w:eastAsia="Arial" w:cs="Arial"/>
          <w:b/>
          <w:bCs/>
          <w:i w:val="false"/>
          <w:iCs w:val="false"/>
          <w:color w:val="000000"/>
          <w:kern w:val="0"/>
          <w:sz w:val="22"/>
          <w:szCs w:val="22"/>
          <w:lang w:val="pt-BR" w:eastAsia="pt-BR" w:bidi="ar-SA"/>
        </w:rPr>
        <w:t>DISPOSIÇÕES FINAIS</w:t>
      </w:r>
    </w:p>
    <w:p>
      <w:pPr>
        <w:pStyle w:val="Nivel01"/>
        <w:widowControl/>
        <w:numPr>
          <w:ilvl w:val="1"/>
          <w:numId w:val="1"/>
        </w:numPr>
        <w:suppressAutoHyphens w:val="true"/>
        <w:bidi w:val="0"/>
        <w:spacing w:lineRule="auto" w:line="276" w:before="0" w:after="0"/>
        <w:ind w:left="357" w:right="0" w:hanging="357"/>
        <w:contextualSpacing/>
        <w:jc w:val="left"/>
        <w:rPr/>
      </w:pPr>
      <w:bookmarkStart w:id="26" w:name="_Hlk82471863"/>
      <w:r>
        <w:rPr>
          <w:rFonts w:eastAsia="Arial" w:cs="Arial"/>
          <w:b w:val="false"/>
          <w:bCs w:val="false"/>
          <w:i w:val="false"/>
          <w:iCs w:val="false"/>
          <w:color w:val="000000"/>
          <w:kern w:val="0"/>
          <w:sz w:val="22"/>
          <w:szCs w:val="22"/>
          <w:lang w:val="pt-BR" w:eastAsia="pt-BR" w:bidi="ar-SA"/>
        </w:rPr>
        <w:t>As informações contidas neste Termo de Referência não são classificadas como sigilosas</w:t>
      </w:r>
      <w:bookmarkEnd w:id="26"/>
      <w:r>
        <w:rPr>
          <w:rFonts w:eastAsia="Arial" w:cs="Arial"/>
          <w:b w:val="false"/>
          <w:bCs w:val="false"/>
          <w:i w:val="false"/>
          <w:iCs w:val="false"/>
          <w:color w:val="000000"/>
          <w:kern w:val="0"/>
          <w:sz w:val="22"/>
          <w:szCs w:val="22"/>
          <w:lang w:val="pt-BR" w:eastAsia="pt-BR" w:bidi="ar-SA"/>
        </w:rPr>
        <w:t>.</w:t>
      </w:r>
    </w:p>
    <w:p>
      <w:pPr>
        <w:pStyle w:val="Normal"/>
        <w:widowControl/>
        <w:numPr>
          <w:ilvl w:val="0"/>
          <w:numId w:val="0"/>
        </w:numPr>
        <w:suppressAutoHyphens w:val="true"/>
        <w:bidi w:val="0"/>
        <w:spacing w:lineRule="auto" w:line="276" w:before="0" w:after="0"/>
        <w:ind w:left="357" w:hanging="357"/>
        <w:contextualSpacing/>
        <w:jc w:val="left"/>
        <w:outlineLvl w:val="0"/>
        <w:rPr/>
      </w:pPr>
      <w:r>
        <w:rPr>
          <w:rFonts w:eastAsia="Arial" w:cs="Arial" w:ascii="Times New Roman" w:hAnsi="Times New Roman"/>
          <w:b w:val="false"/>
          <w:bCs w:val="false"/>
          <w:i w:val="false"/>
          <w:iCs w:val="false"/>
          <w:color w:val="000000"/>
          <w:kern w:val="0"/>
          <w:sz w:val="22"/>
          <w:szCs w:val="22"/>
          <w:lang w:val="pt-BR" w:eastAsia="pt-BR" w:bidi="ar-SA"/>
        </w:rPr>
        <w:t xml:space="preserve">                   </w:t>
      </w:r>
    </w:p>
    <w:p>
      <w:pPr>
        <w:pStyle w:val="Nivel01"/>
        <w:widowControl/>
        <w:numPr>
          <w:ilvl w:val="0"/>
          <w:numId w:val="1"/>
        </w:numPr>
        <w:suppressAutoHyphens w:val="true"/>
        <w:bidi w:val="0"/>
        <w:spacing w:lineRule="auto" w:line="276" w:before="0" w:after="0"/>
        <w:ind w:left="357" w:right="0" w:hanging="357"/>
        <w:contextualSpacing/>
        <w:jc w:val="left"/>
        <w:rPr/>
      </w:pPr>
      <w:r>
        <w:rPr>
          <w:rFonts w:eastAsia="Arial" w:cs="Arial"/>
          <w:b/>
          <w:bCs/>
          <w:i w:val="false"/>
          <w:iCs w:val="false"/>
          <w:color w:val="000000"/>
          <w:kern w:val="0"/>
          <w:sz w:val="22"/>
          <w:szCs w:val="22"/>
          <w:lang w:val="pt-BR" w:eastAsia="pt-BR" w:bidi="ar-SA"/>
        </w:rPr>
        <w:t>APÊNDICES</w:t>
      </w:r>
    </w:p>
    <w:p>
      <w:pPr>
        <w:pStyle w:val="Nivel01"/>
        <w:widowControl/>
        <w:numPr>
          <w:ilvl w:val="1"/>
          <w:numId w:val="1"/>
        </w:numPr>
        <w:suppressAutoHyphens w:val="true"/>
        <w:bidi w:val="0"/>
        <w:spacing w:lineRule="auto" w:line="276" w:before="0" w:after="0"/>
        <w:ind w:left="357" w:right="0" w:hanging="357"/>
        <w:contextualSpacing/>
        <w:jc w:val="left"/>
        <w:rPr>
          <w:rFonts w:ascii="Times New Roman" w:hAnsi="Times New Roman"/>
          <w:i w:val="false"/>
          <w:i w:val="false"/>
          <w:iCs w:val="false"/>
          <w:sz w:val="22"/>
          <w:szCs w:val="22"/>
        </w:rPr>
      </w:pPr>
      <w:r>
        <w:rPr>
          <w:rFonts w:eastAsia="Arial" w:cs="Arial"/>
          <w:b w:val="false"/>
          <w:bCs w:val="false"/>
          <w:i w:val="false"/>
          <w:iCs w:val="false"/>
          <w:color w:val="000000"/>
          <w:kern w:val="0"/>
          <w:sz w:val="22"/>
          <w:szCs w:val="22"/>
          <w:lang w:val="pt-BR" w:eastAsia="pt-BR" w:bidi="ar-SA"/>
        </w:rPr>
        <w:t>Estudos Técnicos Preliminares; e</w:t>
      </w:r>
    </w:p>
    <w:p>
      <w:pPr>
        <w:pStyle w:val="Nivel01"/>
        <w:widowControl/>
        <w:numPr>
          <w:ilvl w:val="1"/>
          <w:numId w:val="1"/>
        </w:numPr>
        <w:suppressAutoHyphens w:val="true"/>
        <w:bidi w:val="0"/>
        <w:spacing w:lineRule="auto" w:line="276" w:before="0" w:after="0"/>
        <w:ind w:left="357" w:right="0" w:hanging="357"/>
        <w:contextualSpacing/>
        <w:jc w:val="left"/>
        <w:rPr>
          <w:rFonts w:ascii="Times New Roman" w:hAnsi="Times New Roman"/>
          <w:i w:val="false"/>
          <w:i w:val="false"/>
          <w:iCs w:val="false"/>
          <w:sz w:val="22"/>
          <w:szCs w:val="22"/>
        </w:rPr>
      </w:pPr>
      <w:r>
        <w:rPr>
          <w:rFonts w:eastAsia="Arial" w:cs="Arial"/>
          <w:b w:val="false"/>
          <w:bCs w:val="false"/>
          <w:i w:val="false"/>
          <w:iCs w:val="false"/>
          <w:color w:val="000000"/>
          <w:kern w:val="0"/>
          <w:sz w:val="22"/>
          <w:szCs w:val="22"/>
          <w:lang w:val="pt-BR" w:eastAsia="pt-BR" w:bidi="ar-SA"/>
        </w:rPr>
        <w:t>Tabela de Itens.</w:t>
      </w:r>
    </w:p>
    <w:p>
      <w:pPr>
        <w:pStyle w:val="Normal"/>
        <w:widowControl/>
        <w:numPr>
          <w:ilvl w:val="0"/>
          <w:numId w:val="0"/>
        </w:numPr>
        <w:suppressAutoHyphens w:val="true"/>
        <w:bidi w:val="0"/>
        <w:spacing w:lineRule="auto" w:line="276" w:before="0" w:after="0"/>
        <w:ind w:left="357" w:hanging="357"/>
        <w:contextualSpacing/>
        <w:jc w:val="left"/>
        <w:outlineLvl w:val="0"/>
        <w:rPr>
          <w:rFonts w:ascii="Times New Roman" w:hAnsi="Times New Roman" w:eastAsia="Arial" w:cs="Arial"/>
          <w:b w:val="false"/>
          <w:b w:val="false"/>
          <w:bCs w:val="false"/>
          <w:i w:val="false"/>
          <w:i w:val="false"/>
          <w:iCs w:val="false"/>
          <w:color w:val="000000"/>
          <w:kern w:val="0"/>
          <w:sz w:val="22"/>
          <w:szCs w:val="22"/>
          <w:lang w:val="pt-BR" w:eastAsia="pt-BR" w:bidi="ar-SA"/>
        </w:rPr>
      </w:pPr>
      <w:r>
        <w:rPr>
          <w:rFonts w:eastAsia="Arial" w:cs="Arial" w:ascii="Times New Roman" w:hAnsi="Times New Roman"/>
          <w:b w:val="false"/>
          <w:bCs w:val="false"/>
          <w:i w:val="false"/>
          <w:iCs w:val="false"/>
          <w:color w:val="000000"/>
          <w:kern w:val="0"/>
          <w:sz w:val="22"/>
          <w:szCs w:val="22"/>
          <w:lang w:val="pt-BR" w:eastAsia="pt-BR" w:bidi="ar-SA"/>
        </w:rPr>
      </w:r>
    </w:p>
    <w:p>
      <w:pPr>
        <w:pStyle w:val="Nvel02"/>
        <w:widowControl/>
        <w:numPr>
          <w:ilvl w:val="0"/>
          <w:numId w:val="0"/>
        </w:numPr>
        <w:shd w:val="clear" w:color="auto" w:fill="auto"/>
        <w:suppressAutoHyphens w:val="true"/>
        <w:bidi w:val="0"/>
        <w:spacing w:lineRule="auto" w:line="276" w:before="120" w:after="120"/>
        <w:ind w:left="0" w:hanging="0"/>
        <w:jc w:val="both"/>
        <w:rPr>
          <w:rFonts w:eastAsia="Arial" w:cs="Arial"/>
          <w:color w:val="000000"/>
          <w:kern w:val="0"/>
          <w:lang w:val="pt-BR" w:eastAsia="pt-BR" w:bidi="ar-SA"/>
        </w:rPr>
      </w:pPr>
      <w:r>
        <w:rPr>
          <w:rFonts w:eastAsia="Arial" w:cs="Arial"/>
          <w:color w:val="000000"/>
          <w:kern w:val="0"/>
          <w:lang w:val="pt-BR" w:eastAsia="pt-BR" w:bidi="ar-SA"/>
        </w:rPr>
      </w:r>
    </w:p>
    <w:p>
      <w:pPr>
        <w:pStyle w:val="Normal"/>
        <w:widowControl/>
        <w:numPr>
          <w:ilvl w:val="0"/>
          <w:numId w:val="0"/>
        </w:numPr>
        <w:shd w:val="clear" w:color="auto" w:fill="auto"/>
        <w:suppressAutoHyphens w:val="true"/>
        <w:bidi w:val="0"/>
        <w:spacing w:lineRule="auto" w:line="312" w:before="0" w:after="288"/>
        <w:ind w:left="0" w:firstLine="709"/>
        <w:jc w:val="right"/>
        <w:rPr>
          <w:rFonts w:ascii="Calibri" w:hAnsi="Calibri" w:eastAsia="Arial" w:cs="Arial"/>
          <w:i w:val="false"/>
          <w:i w:val="false"/>
          <w:iCs/>
          <w:color w:val="000000"/>
          <w:kern w:val="0"/>
          <w:sz w:val="22"/>
          <w:szCs w:val="22"/>
          <w:lang w:val="pt-BR" w:eastAsia="pt-BR" w:bidi="ar-SA"/>
        </w:rPr>
      </w:pPr>
      <w:r>
        <w:rPr>
          <w:rFonts w:eastAsia="Times New Roman" w:cs="Times New Roman" w:ascii="Times New Roman" w:hAnsi="Times New Roman"/>
          <w:b w:val="false"/>
          <w:bCs w:val="false"/>
          <w:i w:val="false"/>
          <w:iCs w:val="false"/>
          <w:color w:val="000000"/>
          <w:kern w:val="0"/>
          <w:sz w:val="22"/>
          <w:szCs w:val="22"/>
          <w:lang w:val="pt-PT" w:eastAsia="en-US" w:bidi="ar-SA"/>
        </w:rPr>
        <w:t>Rio de Janeiro,       de                       de 2025.</w:t>
      </w:r>
    </w:p>
    <w:p>
      <w:pPr>
        <w:pStyle w:val="Normal"/>
        <w:widowControl w:val="false"/>
        <w:spacing w:lineRule="auto" w:line="240"/>
        <w:jc w:val="center"/>
        <w:rPr>
          <w:rFonts w:ascii="Times New Roman" w:hAnsi="Times New Roman"/>
          <w:b w:val="false"/>
          <w:b w:val="false"/>
          <w:bCs w:val="false"/>
          <w:i w:val="false"/>
          <w:i w:val="false"/>
          <w:iCs w:val="false"/>
          <w:color w:val="000000"/>
          <w:sz w:val="22"/>
          <w:szCs w:val="22"/>
        </w:rPr>
      </w:pPr>
      <w:r>
        <w:rPr>
          <w:rFonts w:ascii="Times New Roman" w:hAnsi="Times New Roman"/>
          <w:b w:val="false"/>
          <w:bCs w:val="false"/>
          <w:i w:val="false"/>
          <w:iCs w:val="false"/>
          <w:color w:val="000000"/>
          <w:sz w:val="22"/>
          <w:szCs w:val="22"/>
        </w:rPr>
      </w:r>
    </w:p>
    <w:p>
      <w:pPr>
        <w:pStyle w:val="Normal"/>
        <w:widowControl w:val="false"/>
        <w:spacing w:lineRule="auto" w:line="240"/>
        <w:jc w:val="center"/>
        <w:rPr>
          <w:rFonts w:ascii="Times New Roman" w:hAnsi="Times New Roman"/>
          <w:b w:val="false"/>
          <w:b w:val="false"/>
          <w:bCs w:val="false"/>
          <w:i w:val="false"/>
          <w:i w:val="false"/>
          <w:iCs w:val="false"/>
          <w:color w:val="000000"/>
          <w:sz w:val="22"/>
          <w:szCs w:val="22"/>
        </w:rPr>
      </w:pPr>
      <w:r>
        <w:rPr>
          <w:rFonts w:ascii="Times New Roman" w:hAnsi="Times New Roman"/>
          <w:b w:val="false"/>
          <w:bCs w:val="false"/>
          <w:i w:val="false"/>
          <w:iCs w:val="false"/>
          <w:color w:val="000000"/>
          <w:sz w:val="22"/>
          <w:szCs w:val="22"/>
        </w:rPr>
      </w:r>
    </w:p>
    <w:p>
      <w:pPr>
        <w:pStyle w:val="Normal"/>
        <w:pageBreakBefore w:val="false"/>
        <w:bidi w:val="0"/>
        <w:spacing w:lineRule="auto" w:line="276" w:before="0" w:after="0"/>
        <w:ind w:left="0" w:right="0" w:hanging="0"/>
        <w:jc w:val="center"/>
        <w:rPr>
          <w:rFonts w:ascii="Times New Roman" w:hAnsi="Times New Roman" w:cs="Calibri"/>
          <w:color w:val="000000"/>
          <w:kern w:val="0"/>
          <w:sz w:val="22"/>
          <w:szCs w:val="22"/>
          <w:lang w:val="pt-BR" w:eastAsia="pt-BR" w:bidi="ar-SA"/>
        </w:rPr>
      </w:pPr>
      <w:r>
        <w:rPr>
          <w:rFonts w:cs="Calibri" w:ascii="Times New Roman" w:hAnsi="Times New Roman"/>
          <w:b w:val="false"/>
          <w:bCs w:val="false"/>
          <w:color w:val="000000"/>
          <w:kern w:val="0"/>
          <w:sz w:val="22"/>
          <w:szCs w:val="22"/>
          <w:lang w:val="pt-BR" w:eastAsia="pt-BR" w:bidi="ar-SA"/>
        </w:rPr>
        <w:t>GIDEON</w:t>
      </w:r>
      <w:r>
        <w:rPr>
          <w:rFonts w:cs="Calibri" w:ascii="Times New Roman" w:hAnsi="Times New Roman"/>
          <w:color w:val="000000"/>
          <w:kern w:val="0"/>
          <w:sz w:val="22"/>
          <w:szCs w:val="22"/>
          <w:lang w:val="pt-BR" w:eastAsia="pt-BR" w:bidi="ar-SA"/>
        </w:rPr>
        <w:t xml:space="preserve"> PAIVA DE SOUZA JUNIOR</w:t>
      </w:r>
    </w:p>
    <w:p>
      <w:pPr>
        <w:pStyle w:val="Normal"/>
        <w:bidi w:val="0"/>
        <w:spacing w:lineRule="auto" w:line="276" w:before="0" w:after="0"/>
        <w:ind w:left="0" w:right="0" w:hanging="0"/>
        <w:jc w:val="center"/>
        <w:rPr>
          <w:rFonts w:ascii="Times New Roman" w:hAnsi="Times New Roman" w:cs="Calibri"/>
          <w:color w:val="000000"/>
          <w:sz w:val="22"/>
          <w:szCs w:val="22"/>
        </w:rPr>
      </w:pPr>
      <w:r>
        <w:rPr>
          <w:rFonts w:cs="Calibri" w:ascii="Times New Roman" w:hAnsi="Times New Roman"/>
          <w:color w:val="000000"/>
          <w:sz w:val="22"/>
          <w:szCs w:val="22"/>
        </w:rPr>
        <w:t>Segundo-Tenente (AA)</w:t>
      </w:r>
    </w:p>
    <w:p>
      <w:pPr>
        <w:pStyle w:val="Contedodatabela"/>
        <w:widowControl w:val="false"/>
        <w:tabs>
          <w:tab w:val="clear" w:pos="709"/>
          <w:tab w:val="left" w:pos="1140" w:leader="none"/>
          <w:tab w:val="left" w:pos="5220" w:leader="none"/>
        </w:tabs>
        <w:spacing w:lineRule="auto" w:line="276"/>
        <w:jc w:val="center"/>
        <w:rPr>
          <w:rFonts w:ascii="Times New Roman" w:hAnsi="Times New Roman"/>
          <w:b w:val="false"/>
          <w:b w:val="false"/>
          <w:bCs w:val="false"/>
          <w:i w:val="false"/>
          <w:i w:val="false"/>
          <w:iCs w:val="false"/>
          <w:sz w:val="22"/>
          <w:szCs w:val="22"/>
        </w:rPr>
      </w:pPr>
      <w:r>
        <w:rPr>
          <w:rFonts w:cs="Calibri"/>
          <w:b w:val="false"/>
          <w:bCs w:val="false"/>
          <w:i w:val="false"/>
          <w:iCs w:val="false"/>
          <w:color w:val="000000"/>
          <w:sz w:val="22"/>
          <w:szCs w:val="22"/>
        </w:rPr>
        <w:t>Membro da equipe de planejamento</w:t>
      </w:r>
    </w:p>
    <w:p>
      <w:pPr>
        <w:pStyle w:val="Normal"/>
        <w:tabs>
          <w:tab w:val="clear" w:pos="709"/>
          <w:tab w:val="left" w:pos="0" w:leader="none"/>
        </w:tabs>
        <w:spacing w:lineRule="auto" w:line="240"/>
        <w:jc w:val="center"/>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sz w:val="22"/>
          <w:szCs w:val="22"/>
        </w:rPr>
      </w:r>
    </w:p>
    <w:p>
      <w:pPr>
        <w:pStyle w:val="Normal"/>
        <w:tabs>
          <w:tab w:val="clear" w:pos="709"/>
          <w:tab w:val="left" w:pos="0" w:leader="none"/>
        </w:tabs>
        <w:spacing w:lineRule="auto" w:line="240"/>
        <w:jc w:val="center"/>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sz w:val="22"/>
          <w:szCs w:val="22"/>
        </w:rPr>
      </w:r>
    </w:p>
    <w:p>
      <w:pPr>
        <w:pStyle w:val="Normal"/>
        <w:tabs>
          <w:tab w:val="clear" w:pos="709"/>
          <w:tab w:val="left" w:pos="0" w:leader="none"/>
        </w:tabs>
        <w:spacing w:lineRule="auto" w:line="240"/>
        <w:jc w:val="center"/>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sz w:val="22"/>
          <w:szCs w:val="22"/>
        </w:rPr>
      </w:r>
    </w:p>
    <w:p>
      <w:pPr>
        <w:pStyle w:val="Normal"/>
        <w:numPr>
          <w:ilvl w:val="0"/>
          <w:numId w:val="0"/>
        </w:numPr>
        <w:spacing w:lineRule="auto" w:line="312" w:before="0" w:after="288"/>
        <w:ind w:left="0" w:firstLine="709"/>
        <w:jc w:val="right"/>
        <w:rPr>
          <w:rFonts w:ascii="Calibri" w:hAnsi="Calibri"/>
          <w:color w:val="000000"/>
          <w:sz w:val="22"/>
          <w:szCs w:val="22"/>
        </w:rPr>
      </w:pPr>
      <w:r>
        <w:rPr>
          <w:rFonts w:eastAsia="Times New Roman" w:cs="Times New Roman" w:ascii="Times New Roman" w:hAnsi="Times New Roman"/>
          <w:b w:val="false"/>
          <w:bCs w:val="false"/>
          <w:i w:val="false"/>
          <w:iCs w:val="false"/>
          <w:color w:val="000000"/>
          <w:sz w:val="22"/>
          <w:szCs w:val="22"/>
          <w:lang w:val="pt-PT" w:eastAsia="en-US"/>
        </w:rPr>
        <w:t>Rio de Janeiro,       de                       de 2025.</w:t>
      </w:r>
    </w:p>
    <w:p>
      <w:pPr>
        <w:pStyle w:val="Normal"/>
        <w:tabs>
          <w:tab w:val="clear" w:pos="709"/>
          <w:tab w:val="left" w:pos="0" w:leader="none"/>
        </w:tabs>
        <w:bidi w:val="0"/>
        <w:spacing w:lineRule="auto" w:line="240" w:before="0" w:after="0"/>
        <w:ind w:left="0" w:right="0" w:hanging="0"/>
        <w:jc w:val="center"/>
        <w:rPr>
          <w:rFonts w:ascii="Times New Roman" w:hAnsi="Times New Roman" w:eastAsia="Times New Roman" w:cs="Times New Roman"/>
          <w:b w:val="false"/>
          <w:b w:val="false"/>
          <w:bCs w:val="false"/>
          <w:i w:val="false"/>
          <w:i w:val="false"/>
          <w:iCs w:val="false"/>
          <w:color w:val="000000"/>
          <w:sz w:val="22"/>
          <w:szCs w:val="22"/>
        </w:rPr>
      </w:pPr>
      <w:r>
        <w:rPr>
          <w:rFonts w:eastAsia="Times New Roman" w:cs="Times New Roman" w:ascii="Times New Roman" w:hAnsi="Times New Roman"/>
          <w:b w:val="false"/>
          <w:bCs w:val="false"/>
          <w:i w:val="false"/>
          <w:iCs w:val="false"/>
          <w:color w:val="000000"/>
          <w:sz w:val="22"/>
          <w:szCs w:val="22"/>
        </w:rPr>
      </w:r>
    </w:p>
    <w:p>
      <w:pPr>
        <w:pStyle w:val="Normal"/>
        <w:tabs>
          <w:tab w:val="clear" w:pos="709"/>
          <w:tab w:val="left" w:pos="0" w:leader="none"/>
        </w:tabs>
        <w:bidi w:val="0"/>
        <w:spacing w:lineRule="auto" w:line="240" w:before="0" w:after="0"/>
        <w:ind w:left="0" w:right="0" w:hanging="0"/>
        <w:jc w:val="center"/>
        <w:rPr>
          <w:rFonts w:ascii="Times New Roman" w:hAnsi="Times New Roman" w:eastAsia="Times New Roman" w:cs="Times New Roman"/>
          <w:b w:val="false"/>
          <w:b w:val="false"/>
          <w:bCs w:val="false"/>
          <w:i w:val="false"/>
          <w:i w:val="false"/>
          <w:iCs w:val="false"/>
          <w:color w:val="000000"/>
          <w:sz w:val="22"/>
          <w:szCs w:val="22"/>
        </w:rPr>
      </w:pPr>
      <w:r>
        <w:rPr>
          <w:rFonts w:eastAsia="Times New Roman" w:cs="Times New Roman" w:ascii="Times New Roman" w:hAnsi="Times New Roman"/>
          <w:b w:val="false"/>
          <w:bCs w:val="false"/>
          <w:i w:val="false"/>
          <w:iCs w:val="false"/>
          <w:color w:val="000000"/>
          <w:sz w:val="22"/>
          <w:szCs w:val="22"/>
        </w:rPr>
      </w:r>
    </w:p>
    <w:p>
      <w:pPr>
        <w:pStyle w:val="Normal"/>
        <w:tabs>
          <w:tab w:val="clear" w:pos="709"/>
          <w:tab w:val="left" w:pos="0" w:leader="none"/>
        </w:tabs>
        <w:bidi w:val="0"/>
        <w:spacing w:lineRule="auto" w:line="240" w:before="0" w:after="0"/>
        <w:ind w:left="0" w:right="0" w:hanging="0"/>
        <w:jc w:val="center"/>
        <w:rPr>
          <w:rFonts w:ascii="Calibri" w:hAnsi="Calibri" w:eastAsia="Times New Roman" w:cs="Times New Roman"/>
          <w:b w:val="false"/>
          <w:b w:val="false"/>
          <w:bCs w:val="false"/>
          <w:color w:val="000000"/>
          <w:sz w:val="22"/>
          <w:szCs w:val="22"/>
        </w:rPr>
      </w:pPr>
      <w:r>
        <w:rPr>
          <w:rFonts w:eastAsia="Times New Roman" w:cs="Times New Roman" w:ascii="Times New Roman" w:hAnsi="Times New Roman"/>
          <w:b w:val="false"/>
          <w:bCs w:val="false"/>
          <w:i w:val="false"/>
          <w:iCs w:val="false"/>
          <w:color w:val="000000"/>
          <w:sz w:val="22"/>
          <w:szCs w:val="22"/>
        </w:rPr>
        <w:t>THIAGO JOS</w:t>
      </w:r>
      <w:r>
        <w:rPr>
          <w:rFonts w:eastAsia="Times New Roman" w:cs="Times New Roman" w:ascii="Times New Roman" w:hAnsi="Times New Roman"/>
          <w:b w:val="false"/>
          <w:bCs w:val="false"/>
          <w:i w:val="false"/>
          <w:iCs w:val="false"/>
          <w:color w:val="000000"/>
          <w:kern w:val="2"/>
          <w:sz w:val="22"/>
          <w:szCs w:val="22"/>
          <w:lang w:val="pt-BR" w:eastAsia="zh-CN" w:bidi="ar-SA"/>
        </w:rPr>
        <w:t>É PARREIRA</w:t>
      </w:r>
    </w:p>
    <w:p>
      <w:pPr>
        <w:pStyle w:val="Normal"/>
        <w:widowControl w:val="false"/>
        <w:jc w:val="center"/>
        <w:rPr>
          <w:rFonts w:ascii="Calibri" w:hAnsi="Calibri"/>
          <w:color w:val="000000"/>
          <w:sz w:val="22"/>
          <w:szCs w:val="22"/>
        </w:rPr>
      </w:pPr>
      <w:r>
        <w:rPr>
          <w:rFonts w:cs="Carlito;Calibri" w:ascii="Times New Roman" w:hAnsi="Times New Roman"/>
          <w:b w:val="false"/>
          <w:bCs w:val="false"/>
          <w:i w:val="false"/>
          <w:iCs w:val="false"/>
          <w:color w:val="000000"/>
          <w:sz w:val="22"/>
          <w:szCs w:val="22"/>
        </w:rPr>
        <w:t>Capitão de Mar e Guerra (IM)</w:t>
      </w:r>
    </w:p>
    <w:p>
      <w:pPr>
        <w:pStyle w:val="Normal"/>
        <w:widowControl w:val="false"/>
        <w:jc w:val="center"/>
        <w:rPr>
          <w:rFonts w:ascii="Carlito;Calibri" w:hAnsi="Carlito;Calibri"/>
        </w:rPr>
      </w:pPr>
      <w:r>
        <w:rPr>
          <w:rStyle w:val="Fontepargpadro"/>
          <w:rFonts w:eastAsia="Arial" w:cs="Carlito;Calibri" w:ascii="Times New Roman" w:hAnsi="Times New Roman"/>
          <w:b w:val="false"/>
          <w:bCs w:val="false"/>
          <w:i w:val="false"/>
          <w:iCs w:val="false"/>
          <w:color w:val="000000"/>
          <w:sz w:val="22"/>
          <w:szCs w:val="22"/>
        </w:rPr>
        <w:t>Chefe-Geral dos Serviços</w:t>
      </w:r>
    </w:p>
    <w:sectPr>
      <w:footerReference w:type="default" r:id="rId4"/>
      <w:type w:val="nextPage"/>
      <w:pgSz w:w="11906" w:h="16838"/>
      <w:pgMar w:left="1134" w:right="1134" w:gutter="0" w:header="0" w:top="1418" w:footer="709" w:bottom="1418"/>
      <w:pgNumType w:fmt="decimal"/>
      <w:formProt w:val="false"/>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comment w:id="1" w:author="Autor" w:date="0-00-00T00:00:00Z" w:initials="A">
    <w:p>
      <w:r>
        <w:rPr>
          <w:rFonts w:ascii="Liberation Serif" w:hAnsi="Liberation Serif" w:eastAsia="Segoe UI" w:cs="DejaVu Sans"/>
          <w:b/>
          <w:bCs/>
          <w:i/>
          <w:iCs/>
          <w:color w:val="000000"/>
          <w:lang w:val="en-US" w:eastAsia="en-US" w:bidi="en-US"/>
        </w:rPr>
        <w:t>ORIENTAÇÕES PARA USO DO MODELO – LEITURA OBRIGATÓRIA</w:t>
      </w:r>
    </w:p>
    <w:p>
      <w:r>
        <w:rPr>
          <w:rFonts w:ascii="Liberation Serif" w:hAnsi="Liberation Serif" w:eastAsia="Segoe UI" w:cs="DejaVu Sans"/>
          <w:b/>
          <w:bCs/>
          <w:i/>
          <w:iCs/>
          <w:color w:val="000000"/>
          <w:lang w:val="en-US" w:eastAsia="en-US" w:bidi="en-US"/>
        </w:rPr>
        <w:t xml:space="preserve">1) </w:t>
      </w:r>
      <w:r>
        <w:rPr>
          <w:rFonts w:ascii="Liberation Serif" w:hAnsi="Liberation Serif" w:eastAsia="Segoe UI" w:cs="DejaVu Sans"/>
          <w:i/>
          <w:iCs/>
          <w:color w:val="000000"/>
          <w:lang w:val="en-US" w:eastAsia="en-US" w:bidi="en-US"/>
        </w:rPr>
        <w:t xml:space="preserve">O presente modelo de Termo de Referência procura fornecer um ponto de partida para a definição do objeto e condições da contratação. </w:t>
      </w:r>
      <w:r>
        <w:rPr>
          <w:rFonts w:ascii="Liberation Serif" w:hAnsi="Liberation Serif" w:eastAsia="Segoe UI" w:cs="DejaVu Sans"/>
          <w:b/>
          <w:bCs/>
          <w:i/>
          <w:iCs/>
          <w:color w:val="000000"/>
          <w:lang w:val="en-US" w:eastAsia="en-US" w:bidi="en-US"/>
        </w:rPr>
        <w:t>Este é o documento que mais terá variação de conteúdo, de acordo com as peculiaridades da demanda da Administração e do objeto a ser contratado.</w:t>
      </w:r>
      <w:r>
        <w:rPr>
          <w:rFonts w:ascii="Liberation Serif" w:hAnsi="Liberation Serif" w:eastAsia="Segoe UI" w:cs="DejaVu Sans"/>
          <w:i/>
          <w:iCs/>
          <w:color w:val="000000"/>
          <w:lang w:val="en-US" w:eastAsia="en-US" w:bidi="en-US"/>
        </w:rPr>
        <w:t xml:space="preserve"> Assim, a adaptação do texto deverá ser feita à luz dos pontos fundamentais da contratação, sempre de forma clara e objetiva.</w:t>
      </w:r>
    </w:p>
    <w:p>
      <w:r>
        <w:rPr>
          <w:rFonts w:ascii="Liberation Serif" w:hAnsi="Liberation Serif" w:eastAsia="Segoe UI" w:cs="DejaVu Sans"/>
          <w:b/>
          <w:bCs/>
          <w:i/>
          <w:iCs/>
          <w:color w:val="000000"/>
          <w:lang w:val="en-US" w:eastAsia="en-US" w:bidi="en-US"/>
        </w:rPr>
        <w:t xml:space="preserve">2) </w:t>
      </w:r>
      <w:r>
        <w:rPr>
          <w:rFonts w:ascii="Liberation Serif" w:hAnsi="Liberation Serif" w:eastAsia="Segoe UI" w:cs="DejaVu Sans"/>
          <w:i/>
          <w:iCs/>
          <w:color w:val="000000"/>
          <w:lang w:val="en-US" w:eastAsia="en-US" w:bidi="en-US"/>
        </w:rPr>
        <w:t xml:space="preserve">A redação em preto consiste no que se espera ser invariável. Ela até pode sofrer modificações a depender do caso concreto, mas não são disposições feitas para variar. Por essa razão, </w:t>
      </w:r>
      <w:r>
        <w:rPr>
          <w:rFonts w:ascii="Liberation Serif" w:hAnsi="Liberation Serif" w:eastAsia="Segoe UI" w:cs="DejaVu Sans"/>
          <w:b/>
          <w:bCs/>
          <w:i/>
          <w:iCs/>
          <w:color w:val="000000"/>
          <w:lang w:val="en-US" w:eastAsia="en-US" w:bidi="en-US"/>
        </w:rPr>
        <w:t>quaisquer modificações nas partes em preto, sem marcação de itálico, devem necessariamente ser justificadas nos autos</w:t>
      </w:r>
      <w:r>
        <w:rPr>
          <w:rFonts w:ascii="Liberation Serif" w:hAnsi="Liberation Serif" w:eastAsia="Segoe UI" w:cs="DejaVu Sans"/>
          <w:i/>
          <w:iCs/>
          <w:color w:val="000000"/>
          <w:lang w:val="en-US" w:eastAsia="en-US" w:bidi="en-US"/>
        </w:rPr>
        <w:t>, sem prejuízo de eventual consulta ao órgão de assessoramento jurídico respectivo, a depender da matéria.</w:t>
      </w:r>
    </w:p>
    <w:p>
      <w:r>
        <w:rPr>
          <w:rFonts w:ascii="Liberation Serif" w:hAnsi="Liberation Serif" w:eastAsia="Segoe UI" w:cs="DejaVu Sans"/>
          <w:b/>
          <w:bCs/>
          <w:i/>
          <w:iCs/>
          <w:color w:val="000000"/>
          <w:lang w:val="en-US" w:eastAsia="en-US" w:bidi="en-US"/>
        </w:rPr>
        <w:t>3) Os itens deste modelo destacados em vermelho itálico devem ser preenchidos ou adotados pelo órgão ou entidade pública contratante segundo critérios de oportunidade e conveniência</w:t>
      </w:r>
      <w:r>
        <w:rPr>
          <w:rFonts w:ascii="Liberation Serif" w:hAnsi="Liberation Serif" w:eastAsia="Segoe UI" w:cs="DejaVu Sans"/>
          <w:i/>
          <w:iCs/>
          <w:color w:val="000000"/>
          <w:lang w:val="en-US" w:eastAsia="en-US" w:bidi="en-US"/>
        </w:rPr>
        <w:t>, de acordo com as peculiaridades do objeto e cuidando-se para que sejam reproduzidas as mesmas definições nos demais instrumentos da contratação (minuta de Edital e de Contrato), para que não conflitem. São previsões feitas para variarem. Eventuais justificativas podem ser exigidas a depender do caso.</w:t>
      </w:r>
    </w:p>
    <w:p>
      <w:r>
        <w:rPr>
          <w:rFonts w:ascii="Liberation Serif" w:hAnsi="Liberation Serif" w:eastAsia="Segoe UI" w:cs="DejaVu Sans"/>
          <w:b/>
          <w:bCs/>
          <w:i/>
          <w:iCs/>
          <w:color w:val="000000"/>
          <w:lang w:val="en-US" w:eastAsia="en-US" w:bidi="en-US"/>
        </w:rPr>
        <w:t>4) Alguns itens receberam notas explicativas, destacadas para compreensão do agente ou setor responsável pela elaboração do Termo de Referência</w:t>
      </w:r>
      <w:r>
        <w:rPr>
          <w:rFonts w:ascii="Liberation Serif" w:hAnsi="Liberation Serif" w:eastAsia="Segoe UI" w:cs="DejaVu Sans"/>
          <w:i/>
          <w:iCs/>
          <w:color w:val="000000"/>
          <w:lang w:val="en-US" w:eastAsia="en-US" w:bidi="en-US"/>
        </w:rPr>
        <w:t>, que deverão ser devidamente suprimidas ao se finalizar o documento na versão original.</w:t>
      </w:r>
    </w:p>
    <w:p>
      <w:r>
        <w:rPr>
          <w:rFonts w:ascii="Liberation Serif" w:hAnsi="Liberation Serif" w:eastAsia="Segoe UI" w:cs="DejaVu Sans"/>
          <w:b/>
          <w:bCs/>
          <w:i/>
          <w:iCs/>
          <w:color w:val="000000"/>
          <w:lang w:val="en-US" w:eastAsia="en-US" w:bidi="en-US"/>
        </w:rPr>
        <w:t>5) Recomenda-se indicar no processo a versão (mês e ano) utilizada para elaboração da minuta</w:t>
      </w:r>
      <w:r>
        <w:rPr>
          <w:rFonts w:ascii="Liberation Serif" w:hAnsi="Liberation Serif" w:eastAsia="Segoe UI" w:cs="DejaVu Sans"/>
          <w:i/>
          <w:iCs/>
          <w:color w:val="000000"/>
          <w:lang w:val="en-US" w:eastAsia="en-US" w:bidi="en-US"/>
        </w:rPr>
        <w:t>, em especial ao encaminhar o feito para análise jurídica. Tal informação consta no rodapé do documento. Essa indicação pode ocorrer expressamente no despacho de encaminhamento ou mantendo-se o rodapé na minuta encaminhada, conforme o caso. É um dado importante já que indica qual o parâmetro a ser utilizado em eventual checagem.</w:t>
      </w:r>
    </w:p>
    <w:p>
      <w:r>
        <w:rPr>
          <w:rFonts w:ascii="Liberation Serif" w:hAnsi="Liberation Serif" w:eastAsia="Segoe UI" w:cs="DejaVu Sans"/>
          <w:b/>
          <w:bCs/>
          <w:i/>
          <w:iCs/>
          <w:color w:val="000000"/>
          <w:lang w:val="en-US" w:eastAsia="en-US" w:bidi="en-US"/>
        </w:rPr>
        <w:t xml:space="preserve">6) </w:t>
      </w:r>
      <w:r>
        <w:rPr>
          <w:rFonts w:ascii="Liberation Serif" w:hAnsi="Liberation Serif" w:eastAsia="Segoe UI" w:cs="DejaVu Sans"/>
          <w:i/>
          <w:iCs/>
          <w:color w:val="000000"/>
          <w:lang w:val="en-US" w:eastAsia="en-US" w:bidi="en-US"/>
        </w:rPr>
        <w:t xml:space="preserve">O Termo de Referência deve ser elaborado também no Sistema TR Digital ou em ferramenta informatizada própria (art. 4º da </w:t>
      </w:r>
      <w:r>
        <w:rPr>
          <w:rFonts w:ascii="Liberation Serif" w:hAnsi="Liberation Serif" w:eastAsia="Segoe UI" w:cs="DejaVu Sans"/>
          <w:i/>
          <w:iCs/>
          <w:lang w:val="en-US" w:eastAsia="en-US" w:bidi="en-US"/>
        </w:rPr>
        <w:t>IN Seges/ME nº 81, de 25 de novembro de 2022).</w:t>
      </w:r>
    </w:p>
    <w:p>
      <w:r>
        <w:rPr>
          <w:rFonts w:ascii="Liberation Serif" w:hAnsi="Liberation Serif" w:eastAsia="Segoe UI" w:cs="DejaVu Sans"/>
          <w:b/>
          <w:bCs/>
          <w:i/>
          <w:iCs/>
          <w:color w:val="000000"/>
          <w:lang w:val="en-US" w:eastAsia="en-US" w:bidi="en-US"/>
        </w:rPr>
        <w:t xml:space="preserve">7) </w:t>
      </w:r>
      <w:r>
        <w:rPr>
          <w:rFonts w:ascii="Liberation Serif" w:hAnsi="Liberation Serif" w:eastAsia="Segoe UI" w:cs="DejaVu Sans"/>
          <w:i/>
          <w:iCs/>
          <w:color w:val="000000"/>
          <w:lang w:val="en-US" w:eastAsia="en-US" w:bidi="en-US"/>
        </w:rPr>
        <w:t>A elaboração do TR deve levar em conta o art. 3º, inciso I, da</w:t>
      </w:r>
      <w:r>
        <w:rPr>
          <w:rFonts w:ascii="Liberation Serif" w:hAnsi="Liberation Serif" w:eastAsia="Segoe UI" w:cs="DejaVu Sans"/>
          <w:i/>
          <w:iCs/>
          <w:lang w:val="en-US" w:eastAsia="en-US" w:bidi="en-US"/>
        </w:rPr>
        <w:t xml:space="preserve"> IN Seges/ME nº 81, de 2022, </w:t>
      </w:r>
      <w:r>
        <w:rPr>
          <w:rFonts w:ascii="Liberation Serif" w:hAnsi="Liberation Serif" w:eastAsia="Segoe UI" w:cs="DejaVu Sans"/>
          <w:i/>
          <w:iCs/>
          <w:color w:val="000000"/>
          <w:lang w:val="en-US" w:eastAsia="en-US" w:bidi="en-US"/>
        </w:rPr>
        <w:t>que traz a seguinte definição de TR: “documento necessário para a contratação de bens e serviços, que deve conter os parâmetros e elementos descritivos estabelecidos no art. 9º, sendo documento constitutivo da fase preparatória da instrução do processo de licitação”.</w:t>
      </w:r>
    </w:p>
    <w:p>
      <w:r>
        <w:rPr>
          <w:rFonts w:ascii="Liberation Serif" w:hAnsi="Liberation Serif" w:eastAsia="Segoe UI" w:cs="DejaVu Sans"/>
          <w:b/>
          <w:bCs/>
          <w:i/>
          <w:iCs/>
          <w:color w:val="000000"/>
          <w:lang w:val="en-US" w:eastAsia="en-US" w:bidi="en-US"/>
        </w:rPr>
        <w:t xml:space="preserve">8) </w:t>
      </w:r>
      <w:r>
        <w:rPr>
          <w:rFonts w:ascii="Liberation Serif" w:hAnsi="Liberation Serif" w:eastAsia="Segoe UI" w:cs="DejaVu Sans"/>
          <w:i/>
          <w:iCs/>
          <w:color w:val="000000"/>
          <w:lang w:val="en-US" w:eastAsia="en-US" w:bidi="en-US"/>
        </w:rPr>
        <w:t>A não utilização dos m</w:t>
      </w:r>
      <w:r>
        <w:rPr>
          <w:rFonts w:ascii="Liberation Serif" w:hAnsi="Liberation Serif" w:eastAsia="Segoe UI" w:cs="DejaVu Sans"/>
          <w:i/>
          <w:iCs/>
          <w:lang w:val="en-US" w:eastAsia="en-US" w:bidi="en-US"/>
        </w:rPr>
        <w:t>odelos de TR instituídos pela Secretaria de Gestão e Inovação, do Ministério da Gestão e da Inovação em Serviços Públicos de</w:t>
      </w:r>
      <w:r>
        <w:rPr>
          <w:rFonts w:ascii="Liberation Serif" w:hAnsi="Liberation Serif" w:eastAsia="Segoe UI" w:cs="DejaVu Sans"/>
          <w:i/>
          <w:iCs/>
          <w:color w:val="000000"/>
          <w:lang w:val="en-US" w:eastAsia="en-US" w:bidi="en-US"/>
        </w:rPr>
        <w:t xml:space="preserve">ve ser justificada por escrito, com anexação ao respectivo processo de contratação, conforme art. 19, §2º, da Lei nº 14.133, de 2021 e art. 9º, §3º da </w:t>
      </w:r>
      <w:r>
        <w:rPr>
          <w:rFonts w:ascii="Liberation Serif" w:hAnsi="Liberation Serif" w:eastAsia="Segoe UI" w:cs="DejaVu Sans"/>
          <w:i/>
          <w:iCs/>
          <w:lang w:val="en-US" w:eastAsia="en-US" w:bidi="en-US"/>
        </w:rPr>
        <w:t xml:space="preserve">IN </w:t>
      </w:r>
      <w:r>
        <w:rPr>
          <w:rFonts w:ascii="Liberation Serif" w:hAnsi="Liberation Serif" w:eastAsia="Segoe UI" w:cs="DejaVu Sans"/>
          <w:i/>
          <w:iCs/>
          <w:color w:val="000000"/>
          <w:lang w:val="en-US" w:eastAsia="en-US" w:bidi="en-US"/>
        </w:rPr>
        <w:t>Seges/ME nº 81, de 2022.</w:t>
      </w:r>
    </w:p>
    <w:p>
      <w:r>
        <w:rPr>
          <w:rFonts w:ascii="Liberation Serif" w:hAnsi="Liberation Serif" w:eastAsia="Segoe UI" w:cs="DejaVu Sans"/>
          <w:b/>
          <w:bCs/>
          <w:i/>
          <w:iCs/>
          <w:color w:val="000000"/>
          <w:lang w:val="en-US" w:eastAsia="en-US" w:bidi="en-US"/>
        </w:rPr>
        <w:t xml:space="preserve">9) </w:t>
      </w:r>
      <w:r>
        <w:rPr>
          <w:rFonts w:ascii="Liberation Serif" w:hAnsi="Liberation Serif" w:eastAsia="Segoe UI" w:cs="DejaVu Sans"/>
          <w:i/>
          <w:iCs/>
          <w:color w:val="000000"/>
          <w:lang w:val="en-US" w:eastAsia="en-US" w:bidi="en-US"/>
        </w:rPr>
        <w:t>A fim de aprimorar as atividades da Administração, a elaboração dos estudos preliminares e do TR deve levar em conta o relatório final com informações de contratação anterior, nos termos da alínea “d” do inciso VI do § 3º do art. 174 da Lei nº 14.133, de 20</w:t>
      </w:r>
      <w:r>
        <w:rPr>
          <w:rFonts w:ascii="Liberation Serif" w:hAnsi="Liberation Serif" w:eastAsia="Segoe UI" w:cs="DejaVu Sans"/>
          <w:i/>
          <w:iCs/>
          <w:lang w:val="en-US" w:eastAsia="en-US" w:bidi="en-US"/>
        </w:rPr>
        <w:t>21 e inciso VI do art. 21 do Decreto nº 11.246, de 27 de outubro de 2022. Caso referido rel</w:t>
      </w:r>
      <w:r>
        <w:rPr>
          <w:rFonts w:ascii="Liberation Serif" w:hAnsi="Liberation Serif" w:eastAsia="Segoe UI" w:cs="DejaVu Sans"/>
          <w:i/>
          <w:iCs/>
          <w:color w:val="000000"/>
          <w:lang w:val="en-US" w:eastAsia="en-US" w:bidi="en-US"/>
        </w:rPr>
        <w:t>atório não tenha sido elaborado, o processo deve ser enriquecido com essa informação, devendo o gestor do contrato cuidar de elaborá-lo ao fim da contratação que será efetivada.</w:t>
      </w:r>
    </w:p>
    <w:p>
      <w:r>
        <w:rPr>
          <w:rFonts w:ascii="Liberation Serif" w:hAnsi="Liberation Serif" w:eastAsia="Segoe UI" w:cs="DejaVu Sans"/>
          <w:b/>
          <w:bCs/>
          <w:i/>
          <w:iCs/>
          <w:color w:val="000000"/>
          <w:lang w:val="en-US" w:eastAsia="en-US" w:bidi="en-US"/>
        </w:rPr>
        <w:t>10)</w:t>
      </w:r>
      <w:r>
        <w:rPr>
          <w:rFonts w:ascii="Liberation Serif" w:hAnsi="Liberation Serif" w:eastAsia="Segoe UI" w:cs="DejaVu Sans"/>
          <w:i/>
          <w:iCs/>
          <w:color w:val="000000"/>
          <w:lang w:val="en-US" w:eastAsia="en-US" w:bidi="en-US"/>
        </w:rPr>
        <w:t>. Este modelo poderá ser adotado por todos os entes federados, conforme estabelece o inciso IV do art. 19 da Lei nº 14.133, de 1º de abril de 2021, com a realização das adequações eventualmente necessárias, sobretudo em virtude da possível existência de normas locais específicas, que poderão ser consideradas no caso concreto.</w:t>
      </w:r>
    </w:p>
    <w:p>
      <w:r>
        <w:rPr>
          <w:rFonts w:ascii="Liberation Serif" w:hAnsi="Liberation Serif" w:eastAsia="Segoe UI" w:cs="DejaVu Sans"/>
          <w:b/>
          <w:bCs/>
          <w:i/>
          <w:iCs/>
          <w:color w:val="000000"/>
          <w:lang w:val="en-US" w:eastAsia="en-US" w:bidi="en-US"/>
        </w:rPr>
        <w:t xml:space="preserve">11) </w:t>
      </w:r>
      <w:r>
        <w:rPr>
          <w:rFonts w:ascii="Liberation Serif" w:hAnsi="Liberation Serif" w:eastAsia="Segoe UI" w:cs="DejaVu Sans"/>
          <w:i/>
          <w:iCs/>
          <w:color w:val="000000"/>
          <w:lang w:val="en-US" w:eastAsia="en-US" w:bidi="en-US"/>
        </w:rPr>
        <w:t>Quaisquer sugestões de alteração poderão ser encaminhadas ao e-mail: cgu.modeloscontratacao@agu.gov.br.</w:t>
      </w:r>
    </w:p>
  </w:comment>
  <w:comment w:id="0" w:author="Autor" w:date="0-00-00T00:00:00Z" w:initials="A">
    <w:p>
      <w:r>
        <w:rPr>
          <w:rFonts w:ascii="Liberation Serif" w:hAnsi="Liberation Serif" w:eastAsia="Segoe UI" w:cs="DejaVu Sans"/>
          <w:b/>
          <w:bCs/>
          <w:i/>
          <w:iCs/>
          <w:lang w:val="en-US" w:eastAsia="en-US" w:bidi="en-US"/>
        </w:rPr>
        <w:t xml:space="preserve">Nota Explicativa: </w:t>
      </w:r>
      <w:r>
        <w:rPr>
          <w:rFonts w:ascii="Liberation Serif" w:hAnsi="Liberation Serif" w:eastAsia="Segoe UI" w:cs="DejaVu Sans"/>
          <w:i/>
          <w:iCs/>
          <w:lang w:val="en-US" w:eastAsia="en-US" w:bidi="en-US"/>
        </w:rPr>
        <w:t xml:space="preserve">Considerando que este Termo de Referência contempla tanto as hipóteses de contratações diretas quanto de contratações decorrentes de licitação, a expressão "fornecedor" ou "interessado", utilizada ao longo do texto, abrange contratados e licitantes, conforme o caso. </w:t>
      </w:r>
    </w:p>
  </w:comment>
  <w:comment w:id="2" w:author="Autor" w:date="0-00-00T00:00:00Z" w:initials="A">
    <w:p>
      <w:r>
        <w:rPr>
          <w:rFonts w:ascii="Liberation Serif" w:hAnsi="Liberation Serif" w:eastAsia="Segoe UI" w:cs="DejaVu Sans"/>
          <w:b/>
          <w:bCs/>
          <w:i/>
          <w:iCs/>
          <w:color w:val="000000"/>
          <w:lang w:val="en-US" w:eastAsia="en-US" w:bidi="en-US"/>
        </w:rPr>
        <w:t>Nota Explicativa 1:</w:t>
      </w:r>
      <w:r>
        <w:rPr>
          <w:rFonts w:ascii="Liberation Serif" w:hAnsi="Liberation Serif" w:eastAsia="Segoe UI" w:cs="DejaVu Sans"/>
          <w:i/>
          <w:iCs/>
          <w:color w:val="000000"/>
          <w:lang w:val="en-US" w:eastAsia="en-US" w:bidi="en-US"/>
        </w:rPr>
        <w:t xml:space="preserve"> Artigo 18, §1º, da Lei nº 14.133, de 2021, contém a seguinte redação: </w:t>
      </w:r>
    </w:p>
    <w:p>
      <w:r>
        <w:rPr>
          <w:rFonts w:ascii="Liberation Serif" w:hAnsi="Liberation Serif" w:eastAsia="Segoe UI" w:cs="DejaVu Sans"/>
          <w:i/>
          <w:iCs/>
          <w:color w:val="000000"/>
          <w:lang w:val="en-US" w:eastAsia="en-US" w:bidi="en-US"/>
        </w:rPr>
        <w:t>§ 1º O estudo técnico preliminar a que se refere o inciso I do caput deste artigo deverá evidenciar o problema a ser resolvido e a sua melhor solução, de modo a permitir a avaliação da viabilidade técnica e econômica da contratação, e conterá os seguintes elementos: (...)VII - descrição da solução como um todo, inclusive das exigências relacionadas à manutenção e à assistência técnica, quando for o caso.</w:t>
      </w:r>
    </w:p>
    <w:p>
      <w:r>
        <w:rPr>
          <w:rFonts w:ascii="Liberation Serif" w:hAnsi="Liberation Serif" w:eastAsia="Segoe UI" w:cs="DejaVu Sans"/>
          <w:i/>
          <w:iCs/>
          <w:color w:val="000000"/>
          <w:lang w:val="en-US" w:eastAsia="en-US" w:bidi="en-US"/>
        </w:rPr>
        <w:t>Ver também Instrução Normativa SEGES/ME nº 58, de 08 de agosto de 2022 (ETP), art. 3º, inciso I e art. 6º.</w:t>
      </w:r>
    </w:p>
    <w:p>
      <w:r>
        <w:rPr>
          <w:rFonts w:ascii="Liberation Serif" w:hAnsi="Liberation Serif" w:eastAsia="Segoe UI" w:cs="DejaVu Sans"/>
          <w:i/>
          <w:iCs/>
          <w:color w:val="000000"/>
          <w:lang w:val="en-US" w:eastAsia="en-US" w:bidi="en-US"/>
        </w:rPr>
        <w:t>Caso haja a necessidade de modificação da descrição em relação à originalmente feita nos estudos técnicos preliminares, recomenda-se o dispositivo 3.1, para que passe a contemplar essa alteração.</w:t>
      </w:r>
    </w:p>
    <w:p>
      <w:r>
        <w:rPr>
          <w:rFonts w:ascii="Liberation Serif" w:hAnsi="Liberation Serif" w:eastAsia="Segoe UI" w:cs="DejaVu Sans"/>
          <w:i/>
          <w:iCs/>
          <w:color w:val="000000"/>
          <w:lang w:val="en-US" w:eastAsia="en-US" w:bidi="en-US"/>
        </w:rPr>
        <w:t>A Instrução Normativa Seges/ME nº 81, de 2022, também trata da necessidade de descrição da solução como um todo, considerado todo o ciclo de vida do objeto, com preferência a arranjos inovadores em sede de economia circular, conforme seu artigo 9º, inciso III.</w:t>
      </w:r>
    </w:p>
    <w:p>
      <w:r>
        <w:rPr>
          <w:rFonts w:ascii="Liberation Serif" w:hAnsi="Liberation Serif" w:eastAsia="Segoe UI"/>
          <w:lang w:val="en-US" w:eastAsia="en-US" w:bidi="en-US"/>
        </w:rPr>
      </w:r>
    </w:p>
    <w:p>
      <w:r>
        <w:rPr>
          <w:rFonts w:ascii="Liberation Serif" w:hAnsi="Liberation Serif" w:eastAsia="Segoe UI" w:cs="DejaVu Sans"/>
          <w:b/>
          <w:bCs/>
          <w:i/>
          <w:iCs/>
          <w:color w:val="000000"/>
          <w:lang w:val="en-US" w:eastAsia="en-US" w:bidi="en-US"/>
        </w:rPr>
        <w:t>Nota Explicativa 2:</w:t>
      </w:r>
      <w:r>
        <w:rPr>
          <w:rFonts w:ascii="Liberation Serif" w:hAnsi="Liberation Serif" w:eastAsia="Segoe UI" w:cs="DejaVu Sans"/>
          <w:i/>
          <w:iCs/>
          <w:color w:val="000000"/>
          <w:lang w:val="en-US" w:eastAsia="en-US" w:bidi="en-US"/>
        </w:rPr>
        <w:t xml:space="preserve"> A Instrução Normativa SEGES/ME nº 73, de 30 de setembro de 2022, em seu art. 9º, §1º, estabelece que os custos indiretos, relacionados às despesas de manutenção, utilização, reposição, depreciação e impacto ambiental, entre outros fatores vinculados ao seu ciclo de vida, poderão ser considerados para a definição do menor dispêndio, sempre que objetivamente mensuráveis, conforme parâmetros definidos em regulamento, de acordo com o § 1º do art. 34 da Lei nº 14.133, de 2021. Logo, a definição do menor dispêndio para Administração deve levar em consideração esse aspecto.</w:t>
      </w:r>
    </w:p>
    <w:p>
      <w:r>
        <w:rPr>
          <w:rFonts w:ascii="Liberation Serif" w:hAnsi="Liberation Serif" w:eastAsia="Segoe UI"/>
          <w:lang w:val="en-US" w:eastAsia="en-US" w:bidi="en-US"/>
        </w:rPr>
      </w:r>
    </w:p>
    <w:p>
      <w:r>
        <w:rPr>
          <w:rFonts w:ascii="Liberation Serif" w:hAnsi="Liberation Serif" w:eastAsia="Segoe UI" w:cs="DejaVu Sans"/>
          <w:b/>
          <w:bCs/>
          <w:i/>
          <w:iCs/>
          <w:color w:val="000000"/>
          <w:lang w:val="en-US" w:eastAsia="en-US" w:bidi="en-US"/>
        </w:rPr>
        <w:t xml:space="preserve">Nota Explicativa 3: </w:t>
      </w:r>
      <w:r>
        <w:rPr>
          <w:rFonts w:ascii="Liberation Serif" w:hAnsi="Liberation Serif" w:eastAsia="Segoe UI" w:cs="DejaVu Sans"/>
          <w:i/>
          <w:iCs/>
          <w:color w:val="000000"/>
          <w:lang w:val="en-US" w:eastAsia="en-US" w:bidi="en-US"/>
        </w:rPr>
        <w:t>O objeto deve ser descrito de forma detalhada, com todas as especificações necessárias e suficientes para garantir a qualidade da contração, cuidando-se para que não sejam admitidas, previstas ou incluídas condições impertinentes ou irrelevantes para o específico objeto do contrato. Deve-se levar em consideração as normas técnicas eventualmente existentes, elaboradas pela Associação Brasileira de Normas Técnicas – ABNT, quanto a requisitos mínimos de qualidade, utilidade, resistência e segurança, nos termos da Lei n° 4.150, de 21 de novembro de 1962.</w:t>
      </w:r>
    </w:p>
    <w:p>
      <w:r>
        <w:rPr>
          <w:rFonts w:ascii="Liberation Serif" w:hAnsi="Liberation Serif" w:eastAsia="Segoe UI"/>
          <w:lang w:val="en-US" w:eastAsia="en-US" w:bidi="en-US"/>
        </w:rPr>
      </w:r>
    </w:p>
    <w:p>
      <w:r>
        <w:rPr>
          <w:rFonts w:ascii="Liberation Serif" w:hAnsi="Liberation Serif" w:eastAsia="Segoe UI" w:cs="DejaVu Sans"/>
          <w:b/>
          <w:bCs/>
          <w:i/>
          <w:iCs/>
          <w:color w:val="000000"/>
          <w:lang w:val="en-US" w:eastAsia="en-US" w:bidi="en-US"/>
        </w:rPr>
        <w:t xml:space="preserve">Nota Explicativa 4: </w:t>
      </w:r>
      <w:r>
        <w:rPr>
          <w:rFonts w:ascii="Liberation Serif" w:hAnsi="Liberation Serif" w:eastAsia="Segoe UI" w:cs="DejaVu Sans"/>
          <w:i/>
          <w:iCs/>
          <w:color w:val="000000"/>
          <w:lang w:val="en-US" w:eastAsia="en-US" w:bidi="en-US"/>
        </w:rPr>
        <w:t xml:space="preserve">O art. 6º, XXIII, “c”, da Lei nº 14.133, de 2021, e o art. 9º, IIII, da Instrução Normativa Seges/ME nº 81, de 2022, dispõem que a descrição da solução como um todo deve considerar todo o ciclo de vida do objeto. “Ciclo de Vida” é definido no art. 3º da Lei nº 12.305, de 02 de agosto de 2010, como sendo “série de etapas que envolvem o desenvolvimento do produto, a obtenção de matérias-primas e insumos, o processo produtivo, o consumo e a disposição final”. Desse modo, a descrição da solução deve considerar não só suas características intrínsecas ao uso em si, mas também eventual sustentabilidade de sua produção, duração de seu consumo (se é menos ou mais durável) até a destinação final. </w:t>
      </w:r>
      <w:r>
        <w:rPr>
          <w:rFonts w:ascii="Liberation Serif" w:hAnsi="Liberation Serif" w:eastAsia="Segoe UI" w:cs="DejaVu Sans"/>
          <w:b/>
          <w:bCs/>
          <w:i/>
          <w:iCs/>
          <w:color w:val="000000"/>
          <w:lang w:val="en-US" w:eastAsia="en-US" w:bidi="en-US"/>
        </w:rPr>
        <w:t>Reitere-se: se a descrição contida no ETP não contiver esse ponto, deve ser complementada neste TR</w:t>
      </w:r>
      <w:r>
        <w:rPr>
          <w:rFonts w:ascii="Liberation Serif" w:hAnsi="Liberation Serif" w:eastAsia="Segoe UI" w:cs="DejaVu Sans"/>
          <w:i/>
          <w:iCs/>
          <w:color w:val="000000"/>
          <w:lang w:val="en-US" w:eastAsia="en-US" w:bidi="en-US"/>
        </w:rPr>
        <w:t>.</w:t>
      </w:r>
    </w:p>
    <w:p>
      <w:r>
        <w:rPr>
          <w:rFonts w:ascii="Liberation Serif" w:hAnsi="Liberation Serif" w:eastAsia="Segoe UI"/>
          <w:lang w:val="en-US" w:eastAsia="en-US" w:bidi="en-US"/>
        </w:rPr>
      </w:r>
    </w:p>
    <w:p>
      <w:r>
        <w:rPr>
          <w:rFonts w:ascii="Liberation Serif" w:hAnsi="Liberation Serif" w:eastAsia="Segoe UI" w:cs="DejaVu Sans"/>
          <w:b/>
          <w:bCs/>
          <w:i/>
          <w:iCs/>
          <w:color w:val="000000"/>
          <w:lang w:val="en-US" w:eastAsia="en-US" w:bidi="en-US"/>
        </w:rPr>
        <w:t>Nota Explicativa 5:</w:t>
      </w:r>
      <w:r>
        <w:rPr>
          <w:rFonts w:ascii="Liberation Serif" w:hAnsi="Liberation Serif" w:eastAsia="Segoe UI" w:cs="DejaVu Sans"/>
          <w:i/>
          <w:iCs/>
          <w:color w:val="000000"/>
          <w:lang w:val="en-US" w:eastAsia="en-US" w:bidi="en-US"/>
        </w:rPr>
        <w:t xml:space="preserve"> O art. 40, §1º, inciso I, da Lei nº 14.133, de 2021, e o art. 9º, inciso I, alínea b, da Instrução Normativa Seges/ME nº 81, de 2022, estabelece que deve ser feita a especificação do produto/bem/serviço, preferencialmente conforme catálogo eletrônico de padronização, observados os requisitos de qualidade, rendimento, compatibilidade, durabilidade e segurança”. A Portaria SEGES/ME nº 938, de 02 de fevereiro de 2022, instituiu o catálogo eletrônico de padronização, o qual deverá ser consultado para verificar se a contratação almejada está contemplada em seus termos. Em existindo padronização aprovada, ela deve ser considerada e eventual não-uso justificado nos autos.</w:t>
      </w:r>
    </w:p>
    <w:p>
      <w:r>
        <w:rPr>
          <w:rFonts w:ascii="Liberation Serif" w:hAnsi="Liberation Serif" w:eastAsia="Segoe UI"/>
          <w:lang w:val="en-US" w:eastAsia="en-US" w:bidi="en-US"/>
        </w:rPr>
      </w:r>
    </w:p>
    <w:p>
      <w:r>
        <w:rPr>
          <w:rFonts w:ascii="Liberation Serif" w:hAnsi="Liberation Serif" w:eastAsia="Segoe UI" w:cs="DejaVu Sans"/>
          <w:b/>
          <w:bCs/>
          <w:i/>
          <w:iCs/>
          <w:color w:val="000000"/>
          <w:lang w:val="en-US" w:eastAsia="en-US" w:bidi="en-US"/>
        </w:rPr>
        <w:t xml:space="preserve">Nota Explicativa 6: </w:t>
      </w:r>
      <w:r>
        <w:rPr>
          <w:rFonts w:ascii="Liberation Serif" w:hAnsi="Liberation Serif" w:eastAsia="Segoe UI" w:cs="DejaVu Sans"/>
          <w:i/>
          <w:iCs/>
          <w:color w:val="000000"/>
          <w:lang w:val="en-US" w:eastAsia="en-US" w:bidi="en-US"/>
        </w:rPr>
        <w:t>Em havendo elementos de sustentabilidade (fornecimento em material reciclável ou com madeira de reflorestamento etc.) inerentes ao objeto contratual, estes devem estar na solução como um todo de modo específico e concreto, evitando-se descrições genéricas, de difícil aferição e controle. Recomenda-se destacar em tópicos específicos da descrição do objeto seus elementos atinentes a aspectos de sustentabilidade. Sugere-se consultar o Guia Nacional de Contratações Sustentáveis da AGU para tal fim. Caso o Estudo Técnico Preliminar seja silente ou insuficiente a esse respeito, recomenda-se abrir tópico específico nesta seção sobre a matéria.</w:t>
      </w:r>
    </w:p>
    <w:p>
      <w:r>
        <w:rPr>
          <w:rFonts w:ascii="Liberation Serif" w:hAnsi="Liberation Serif" w:eastAsia="Segoe UI" w:cs="DejaVu Sans"/>
          <w:i/>
          <w:iCs/>
          <w:color w:val="000000"/>
          <w:lang w:val="en-US" w:eastAsia="en-US" w:bidi="en-US"/>
        </w:rPr>
        <w:t>Vale registrar que a sustentabilidade pode incidir a partir de características do próprio objeto a ser contratado como também de outros modos, compilados no tópico “requisitos da contratação”, abaixo.</w:t>
      </w:r>
    </w:p>
  </w:comment>
  <w:comment w:id="3" w:author="Autor" w:date="0-00-00T00:00:00Z" w:initials="A">
    <w:p>
      <w:r>
        <w:rPr>
          <w:rFonts w:ascii="Liberation Serif" w:hAnsi="Liberation Serif" w:eastAsia="DejaVu Sans" w:cs="DejaVu Sans"/>
          <w:b/>
          <w:bCs/>
          <w:i/>
          <w:iCs/>
          <w:color w:val="000000"/>
          <w:lang w:val="en-US" w:eastAsia="en-US" w:bidi="en-US"/>
        </w:rPr>
        <w:t xml:space="preserve">Nota Explicativa 1: </w:t>
      </w:r>
      <w:r>
        <w:rPr>
          <w:rFonts w:ascii="Liberation Serif" w:hAnsi="Liberation Serif" w:eastAsia="DejaVu Sans" w:cs="DejaVu Sans"/>
          <w:i/>
          <w:iCs/>
          <w:color w:val="000000"/>
          <w:lang w:val="en-US" w:eastAsia="en-US" w:bidi="en-US"/>
        </w:rPr>
        <w:t>Os requisitos da contratação deverão ser registrados nos Sistemas TR DIGITAL E ETP DIGITAL, nos term</w:t>
      </w:r>
      <w:r>
        <w:rPr>
          <w:rFonts w:ascii="Liberation Serif" w:hAnsi="Liberation Serif" w:eastAsia="DejaVu Sans" w:cs="DejaVu Sans"/>
          <w:i/>
          <w:iCs/>
          <w:lang w:val="en-US" w:eastAsia="en-US" w:bidi="en-US"/>
        </w:rPr>
        <w:t xml:space="preserve">os do </w:t>
      </w:r>
      <w:r>
        <w:rPr>
          <w:rFonts w:ascii="Liberation Serif" w:hAnsi="Liberation Serif" w:eastAsia="DejaVu Sans" w:cs="DejaVu Sans"/>
          <w:lang w:val="en-US" w:eastAsia="en-US" w:bidi="en-US"/>
        </w:rPr>
        <w:t>art. 9º, inciso IV da IN Seges/ME nº 81, de 2022</w:t>
      </w:r>
      <w:r>
        <w:rPr>
          <w:rFonts w:ascii="Liberation Serif" w:hAnsi="Liberation Serif" w:eastAsia="DejaVu Sans" w:cs="DejaVu Sans"/>
          <w:i/>
          <w:iCs/>
          <w:lang w:val="en-US" w:eastAsia="en-US" w:bidi="en-US"/>
        </w:rPr>
        <w:t xml:space="preserve"> e </w:t>
      </w:r>
      <w:r>
        <w:rPr>
          <w:rFonts w:ascii="Liberation Serif" w:hAnsi="Liberation Serif" w:eastAsia="DejaVu Sans" w:cs="DejaVu Sans"/>
          <w:lang w:val="en-US" w:eastAsia="en-US" w:bidi="en-US"/>
        </w:rPr>
        <w:t>art. 9º, inciso II, da Instrução Normativa Seges/ME nº 58, de 2022.</w:t>
      </w:r>
    </w:p>
    <w:p>
      <w:r>
        <w:rPr>
          <w:rFonts w:ascii="Liberation Serif" w:hAnsi="Liberation Serif" w:eastAsia="Segoe UI"/>
          <w:lang w:val="en-US" w:eastAsia="en-US" w:bidi="en-US"/>
        </w:rPr>
      </w:r>
    </w:p>
    <w:p>
      <w:r>
        <w:rPr>
          <w:rFonts w:ascii="Liberation Serif" w:hAnsi="Liberation Serif" w:eastAsia="DejaVu Sans" w:cs="DejaVu Sans"/>
          <w:b/>
          <w:bCs/>
          <w:i/>
          <w:iCs/>
          <w:color w:val="000000"/>
          <w:lang w:val="en-US" w:eastAsia="en-US" w:bidi="en-US"/>
        </w:rPr>
        <w:t xml:space="preserve">Nota Explicativa 2: </w:t>
      </w:r>
      <w:r>
        <w:rPr>
          <w:rFonts w:ascii="Liberation Serif" w:hAnsi="Liberation Serif" w:eastAsia="DejaVu Sans" w:cs="DejaVu Sans"/>
          <w:i/>
          <w:iCs/>
          <w:color w:val="000000"/>
          <w:lang w:val="en-US" w:eastAsia="en-US" w:bidi="en-US"/>
        </w:rPr>
        <w:t xml:space="preserve">Alguns requisitos de contratação tratados na lei foram abordados neste tópico do Termo de Referência. Isso não impede que outros requisitos de contratação, de caráter técnico, sejam inseridos pela área competente. Registre-se, apenas, que a documentação de habilitação técnica é objeto </w:t>
      </w:r>
      <w:r>
        <w:rPr>
          <w:rFonts w:ascii="Liberation Serif" w:hAnsi="Liberation Serif" w:eastAsia="DejaVu Sans" w:cs="DejaVu Sans"/>
          <w:i/>
          <w:iCs/>
          <w:lang w:val="en-US" w:eastAsia="en-US" w:bidi="en-US"/>
        </w:rPr>
        <w:t>de tópico específico neste TR (CRITÉRIOS DE SELEÇÃO DO FORNECEDOR) de modo que sua inclusão aqui seria redundante.</w:t>
      </w:r>
    </w:p>
  </w:comment>
  <w:comment w:id="4" w:author="Autor" w:date="0-00-00T00:00:00Z" w:initials="A">
    <w:p>
      <w:r>
        <w:rPr>
          <w:rFonts w:ascii="Liberation Serif" w:hAnsi="Liberation Serif" w:eastAsia="DejaVu Sans" w:cs="DejaVu Sans"/>
          <w:lang w:val="en-US" w:eastAsia="en-US" w:bidi="en-US"/>
        </w:rPr>
        <w:t xml:space="preserve">Nota Explicativa 1: Neste momento, a área técnica competente deverá indicar se será, ou não, exigida a garantia de execução do objeto para a contratação. </w:t>
      </w:r>
    </w:p>
    <w:p>
      <w:r>
        <w:rPr>
          <w:rFonts w:ascii="Liberation Serif" w:hAnsi="Liberation Serif" w:eastAsia="Segoe UI"/>
          <w:lang w:val="en-US" w:eastAsia="en-US" w:bidi="en-US"/>
        </w:rPr>
      </w:r>
    </w:p>
    <w:p>
      <w:r>
        <w:rPr>
          <w:rFonts w:ascii="Liberation Serif" w:hAnsi="Liberation Serif" w:eastAsia="DejaVu Sans" w:cs="DejaVu Sans"/>
          <w:lang w:val="en-US" w:eastAsia="en-US" w:bidi="en-US"/>
        </w:rPr>
        <w:t>Nota Explicativa 2: O percentual da garantia será de:</w:t>
      </w:r>
      <w:r>
        <w:rPr>
          <w:rFonts w:ascii="Liberation Serif" w:hAnsi="Liberation Serif" w:eastAsia="DejaVu Sans" w:cs="DejaVu Sans"/>
          <w:i/>
          <w:iCs/>
          <w:color w:val="000000"/>
          <w:lang w:val="en-US" w:eastAsia="en-US" w:bidi="en-US"/>
        </w:rPr>
        <w:t> </w:t>
      </w:r>
    </w:p>
    <w:p>
      <w:r>
        <w:rPr>
          <w:rFonts w:ascii="Liberation Serif" w:hAnsi="Liberation Serif" w:eastAsia="DejaVu Sans" w:cs="DejaVu Sans"/>
          <w:lang w:val="en-US" w:eastAsia="en-US" w:bidi="en-US"/>
        </w:rPr>
        <w:t>a) até 5% (cinco por cento) do valor inicial do contrato, para contratações em geral, conforme art. 98 da Lei nº 14.133, de 2021;</w:t>
      </w:r>
      <w:r>
        <w:rPr>
          <w:rFonts w:ascii="Liberation Serif" w:hAnsi="Liberation Serif" w:eastAsia="DejaVu Sans" w:cs="DejaVu Sans"/>
          <w:i/>
          <w:iCs/>
          <w:color w:val="000000"/>
          <w:lang w:val="en-US" w:eastAsia="en-US" w:bidi="en-US"/>
        </w:rPr>
        <w:t> </w:t>
      </w:r>
    </w:p>
    <w:p>
      <w:r>
        <w:rPr>
          <w:rFonts w:ascii="Liberation Serif" w:hAnsi="Liberation Serif" w:eastAsia="DejaVu Sans" w:cs="DejaVu Sans"/>
          <w:lang w:val="en-US" w:eastAsia="en-US" w:bidi="en-US"/>
        </w:rPr>
        <w:t>b) até 10% (dez por cento) do valor inicial do contrato, nos casos de alta complexidade técnica e riscos envolvidos, caso em que deverá haver justificativa específica nos autos, conforme art. 98 da Lei nº 14.133, de 2021;</w:t>
      </w:r>
      <w:r>
        <w:rPr>
          <w:rFonts w:ascii="Liberation Serif" w:hAnsi="Liberation Serif" w:eastAsia="DejaVu Sans" w:cs="DejaVu Sans"/>
          <w:i/>
          <w:iCs/>
          <w:color w:val="000000"/>
          <w:lang w:val="en-US" w:eastAsia="en-US" w:bidi="en-US"/>
        </w:rPr>
        <w:t> </w:t>
      </w:r>
    </w:p>
    <w:p>
      <w:r>
        <w:rPr>
          <w:rFonts w:ascii="Liberation Serif" w:hAnsi="Liberation Serif" w:eastAsia="DejaVu Sans" w:cs="DejaVu Sans"/>
          <w:lang w:val="en-US" w:eastAsia="en-US" w:bidi="en-US"/>
        </w:rPr>
        <w:t>c) deverá ser acrescido de garantia adicional aos percentuais citados anteriormente, em casos de previsão de antecipação de pagamento, nos termos do art. 145, § 2º, da Lei nº 14.133, de 2021.</w:t>
      </w:r>
      <w:r>
        <w:rPr>
          <w:rFonts w:ascii="Liberation Serif" w:hAnsi="Liberation Serif" w:eastAsia="DejaVu Sans" w:cs="DejaVu Sans"/>
          <w:i/>
          <w:iCs/>
          <w:color w:val="000000"/>
          <w:lang w:val="en-US" w:eastAsia="en-US" w:bidi="en-US"/>
        </w:rPr>
        <w:t> </w:t>
      </w:r>
    </w:p>
    <w:p>
      <w:r>
        <w:rPr>
          <w:rFonts w:ascii="Liberation Serif" w:hAnsi="Liberation Serif" w:eastAsia="DejaVu Sans" w:cs="DejaVu Sans"/>
          <w:lang w:val="en-US" w:eastAsia="en-US" w:bidi="en-US"/>
        </w:rPr>
        <w:t>d) nos casos de contratos que impliquem a entrega de bens pela Administração, dos quais o contratado ficará depositário, o valor desses bens deverá ser acrescido ao valor da garantia calculado de acordo com os itens anteriores.</w:t>
      </w:r>
      <w:r>
        <w:rPr>
          <w:rFonts w:ascii="Liberation Serif" w:hAnsi="Liberation Serif" w:eastAsia="DejaVu Sans" w:cs="DejaVu Sans"/>
          <w:i/>
          <w:iCs/>
          <w:color w:val="000000"/>
          <w:lang w:val="en-US" w:eastAsia="en-US" w:bidi="en-US"/>
        </w:rPr>
        <w:t> </w:t>
      </w:r>
    </w:p>
    <w:p>
      <w:r>
        <w:rPr>
          <w:rFonts w:ascii="Liberation Serif" w:hAnsi="Liberation Serif" w:eastAsia="Segoe UI"/>
          <w:lang w:val="en-US" w:eastAsia="en-US" w:bidi="en-US"/>
        </w:rPr>
      </w:r>
    </w:p>
    <w:p>
      <w:r>
        <w:rPr>
          <w:rFonts w:ascii="Liberation Serif" w:hAnsi="Liberation Serif" w:eastAsia="DejaVu Sans" w:cs="DejaVu Sans"/>
          <w:lang w:val="en-US" w:eastAsia="en-US" w:bidi="en-US"/>
        </w:rPr>
        <w:t>Nota explicativa 3: Nos casos de fornecimentos contínuos com duração até um ano, a garantia será calculada com base no valor total do contrato. Se de duração superior a um ano, o será com base no valor anual. Nos demais casos (serviços ou fornecimentos não-contínuos), o será com base no valor inicial.</w:t>
      </w:r>
    </w:p>
    <w:p>
      <w:r>
        <w:rPr>
          <w:rFonts w:ascii="Liberation Serif" w:hAnsi="Liberation Serif" w:eastAsia="Segoe UI"/>
          <w:lang w:val="en-US" w:eastAsia="en-US" w:bidi="en-US"/>
        </w:rPr>
      </w:r>
    </w:p>
    <w:p>
      <w:r>
        <w:rPr>
          <w:rFonts w:ascii="Liberation Serif" w:hAnsi="Liberation Serif" w:eastAsia="DejaVu Sans" w:cs="DejaVu Sans"/>
          <w:lang w:val="en-US" w:eastAsia="en-US" w:bidi="en-US"/>
        </w:rPr>
        <w:t>Nota explicativa 4: O art. 96, §1º, da Lei nº 14.133, de 2021, estabelece as modalidades de garantia da execução contratual, que incluem caução, seguro-garantia, fiança bancária e título de capitalização. A escolha entre essas quatro modalidades de garantia é uma prerrogativa do contratado.</w:t>
      </w:r>
      <w:r>
        <w:rPr>
          <w:rFonts w:ascii="Liberation Serif" w:hAnsi="Liberation Serif" w:eastAsia="DejaVu Sans" w:cs="DejaVu Sans"/>
          <w:i/>
          <w:iCs/>
          <w:color w:val="000000"/>
          <w:lang w:val="en-US" w:eastAsia="en-US" w:bidi="en-US"/>
        </w:rPr>
        <w:t> </w:t>
      </w:r>
    </w:p>
    <w:p>
      <w:r>
        <w:rPr>
          <w:rFonts w:ascii="Liberation Serif" w:hAnsi="Liberation Serif" w:eastAsia="DejaVu Sans" w:cs="DejaVu Sans"/>
          <w:lang w:val="en-US" w:eastAsia="en-US" w:bidi="en-US"/>
        </w:rPr>
        <w:t xml:space="preserve">Para a modalidade de seguro-garantia, o §3º do art. 96 da Lei nº 14.133, de 2021, impõe que a prestação da garantia ocorra antes da assinatura do contrato, no prazo mínimo de um mês, a ser estabelecido em edital,  contado da homologação da licitação. A mesma regra deverá ser aplicada, por analogia, às contratações diretas precedidas de dispensa eletrônica. </w:t>
      </w:r>
    </w:p>
    <w:p>
      <w:r>
        <w:rPr>
          <w:rFonts w:ascii="Liberation Serif" w:hAnsi="Liberation Serif" w:eastAsia="DejaVu Sans" w:cs="DejaVu Sans"/>
          <w:lang w:val="en-US" w:eastAsia="en-US" w:bidi="en-US"/>
        </w:rPr>
        <w:t>Para as demais modalidades, prevalece o disposto no item 3.1, alínea “a”, do Anexo VII-F, da Instrução Normativa SEGES/MP nº 05, de 2017, que fixa o prazo de 10 dias, prorrogáveis por igual período, a critério do órgão contratante, contado da assinatura do contrato para prestação da garantia.</w:t>
      </w:r>
      <w:r>
        <w:rPr>
          <w:rFonts w:ascii="Liberation Serif" w:hAnsi="Liberation Serif" w:eastAsia="DejaVu Sans" w:cs="DejaVu Sans"/>
          <w:i/>
          <w:iCs/>
          <w:color w:val="000000"/>
          <w:lang w:val="en-US" w:eastAsia="en-US" w:bidi="en-US"/>
        </w:rPr>
        <w:t> </w:t>
      </w:r>
    </w:p>
  </w:comment>
  <w:comment w:id="5" w:author="Autor" w:date="0-00-00T00:00:00Z" w:initials="A">
    <w:p>
      <w:r>
        <w:rPr>
          <w:rFonts w:ascii="Liberation Serif" w:hAnsi="Liberation Serif" w:eastAsia="Segoe UI" w:cs="DejaVu Sans"/>
          <w:b/>
          <w:bCs/>
          <w:i/>
          <w:iCs/>
          <w:color w:val="000000"/>
          <w:lang w:val="en-US" w:eastAsia="en-US" w:bidi="en-US"/>
        </w:rPr>
        <w:t>Nota Explicativa 1</w:t>
      </w:r>
      <w:r>
        <w:rPr>
          <w:rFonts w:ascii="Liberation Serif" w:hAnsi="Liberation Serif" w:eastAsia="Segoe UI" w:cs="DejaVu Sans"/>
          <w:i/>
          <w:iCs/>
          <w:color w:val="000000"/>
          <w:lang w:val="en-US" w:eastAsia="en-US" w:bidi="en-US"/>
        </w:rPr>
        <w:t>: Este item deve ser adaptado de acordo com as necessidades específicas do órgão ou entidade, apresentando-se, este modelo, de forma meramente exemplificativa.</w:t>
      </w:r>
    </w:p>
    <w:p>
      <w:r>
        <w:rPr>
          <w:rFonts w:ascii="Liberation Serif" w:hAnsi="Liberation Serif" w:eastAsia="Segoe UI"/>
          <w:lang w:val="en-US" w:eastAsia="en-US" w:bidi="en-US"/>
        </w:rPr>
      </w:r>
    </w:p>
    <w:p>
      <w:r>
        <w:rPr>
          <w:rFonts w:ascii="Liberation Serif" w:hAnsi="Liberation Serif" w:eastAsia="Segoe UI" w:cs="DejaVu Sans"/>
          <w:b/>
          <w:bCs/>
          <w:i/>
          <w:iCs/>
          <w:color w:val="000000"/>
          <w:lang w:val="en-US" w:eastAsia="en-US" w:bidi="en-US"/>
        </w:rPr>
        <w:t xml:space="preserve">Nota Explicativa 2: </w:t>
      </w:r>
      <w:r>
        <w:rPr>
          <w:rFonts w:ascii="Liberation Serif" w:hAnsi="Liberation Serif" w:eastAsia="Segoe UI" w:cs="DejaVu Sans"/>
          <w:i/>
          <w:iCs/>
          <w:lang w:val="en-US" w:eastAsia="en-US" w:bidi="en-US"/>
        </w:rPr>
        <w:t xml:space="preserve">A descrição das tarefas básicas depende das características específicas do serviço contratado e da realidade de cada órgão. Esse item é importante para a eficácia da contratação, ainda mais em se tratando da contratação de serviços executados com regime de dedicação exclusiva de mão de obra. Deverão ser detalhadas de forma minuciosa as tarefas a serem desenvolvidas pelos empregados alocados e o respectivo método ou rotina de execução, inclusive com a indicação de frequência e periodicidade dos serviços, quando couber, vez que, quando da fiscalização contratual, a Administração só poderá exigir do contratado o cumprimento das atividades que tenham sido expressamente arroladas no Termo de Referência. </w:t>
      </w:r>
    </w:p>
    <w:p>
      <w:r>
        <w:rPr>
          <w:rFonts w:ascii="Liberation Serif" w:hAnsi="Liberation Serif" w:eastAsia="Segoe UI"/>
          <w:lang w:val="en-US" w:eastAsia="en-US" w:bidi="en-US"/>
        </w:rPr>
      </w:r>
    </w:p>
    <w:p>
      <w:r>
        <w:rPr>
          <w:rFonts w:ascii="Liberation Serif" w:hAnsi="Liberation Serif" w:eastAsia="DejaVu Sans" w:cs="DejaVu Sans"/>
          <w:lang w:val="en-US" w:eastAsia="en-US" w:bidi="en-US"/>
        </w:rPr>
        <w:t xml:space="preserve">Nota explicativa 3: A Administração deverá atentar, quando for o caso, para a existência de regulamentações específicas relativas a determinados serviços, no que tange à respectiva metodologia de execução, como se passa, por exemplo, em relação aos serviços de limpeza e vigilância, que possuem cadernos de logística próprios. </w:t>
      </w:r>
    </w:p>
  </w:comment>
  <w:comment w:id="6" w:author="Autor" w:date="0-00-00T00:00:00Z" w:initials="A">
    <w:p>
      <w:r>
        <w:rPr>
          <w:rFonts w:ascii="Liberation Serif" w:hAnsi="Liberation Serif" w:eastAsia="Segoe UI" w:cs="DejaVu Sans"/>
          <w:b/>
          <w:bCs/>
          <w:i/>
          <w:iCs/>
          <w:color w:val="000000"/>
          <w:lang w:val="en-US" w:eastAsia="en-US" w:bidi="en-US"/>
        </w:rPr>
        <w:t>Nota Explicativa 1:</w:t>
      </w:r>
      <w:r>
        <w:rPr>
          <w:rFonts w:ascii="Liberation Serif" w:hAnsi="Liberation Serif" w:eastAsia="Segoe UI" w:cs="DejaVu Sans"/>
          <w:i/>
          <w:iCs/>
          <w:color w:val="000000"/>
          <w:lang w:val="en-US" w:eastAsia="en-US" w:bidi="en-US"/>
        </w:rPr>
        <w:t xml:space="preserve"> Fica a critério da Administração exigir - ou não - a garantia contratual dos bens, complementar à garantia legal, mediante a devida fundamentação, a ser exposta neste item do Termo de Referência. Não a exigindo, deverá suprimir o item. </w:t>
      </w:r>
    </w:p>
    <w:p>
      <w:r>
        <w:rPr>
          <w:rFonts w:ascii="Liberation Serif" w:hAnsi="Liberation Serif" w:eastAsia="Segoe UI"/>
          <w:lang w:val="en-US" w:eastAsia="en-US" w:bidi="en-US"/>
        </w:rPr>
      </w:r>
    </w:p>
    <w:p>
      <w:r>
        <w:rPr>
          <w:rFonts w:ascii="Liberation Serif" w:hAnsi="Liberation Serif" w:eastAsia="Segoe UI" w:cs="DejaVu Sans"/>
          <w:b/>
          <w:bCs/>
          <w:i/>
          <w:iCs/>
          <w:color w:val="000000"/>
          <w:lang w:val="en-US" w:eastAsia="en-US" w:bidi="en-US"/>
        </w:rPr>
        <w:t>Nota Explicativa 2</w:t>
      </w:r>
      <w:r>
        <w:rPr>
          <w:rFonts w:ascii="Liberation Serif" w:hAnsi="Liberation Serif" w:eastAsia="Segoe UI" w:cs="DejaVu Sans"/>
          <w:i/>
          <w:iCs/>
          <w:color w:val="000000"/>
          <w:lang w:val="en-US" w:eastAsia="en-US" w:bidi="en-US"/>
        </w:rPr>
        <w:t>: O artigo 9º, inciso alínea “d” da IN Seges/ME nº 81</w:t>
      </w:r>
      <w:r>
        <w:rPr>
          <w:rFonts w:ascii="Liberation Serif" w:hAnsi="Liberation Serif" w:eastAsia="Segoe UI" w:cs="DejaVu Sans"/>
          <w:i/>
          <w:iCs/>
          <w:lang w:val="en-US" w:eastAsia="en-US" w:bidi="en-US"/>
        </w:rPr>
        <w:t xml:space="preserve"> de 2022 ex</w:t>
      </w:r>
      <w:r>
        <w:rPr>
          <w:rFonts w:ascii="Liberation Serif" w:hAnsi="Liberation Serif" w:eastAsia="Segoe UI" w:cs="DejaVu Sans"/>
          <w:i/>
          <w:iCs/>
          <w:color w:val="000000"/>
          <w:lang w:val="en-US" w:eastAsia="en-US" w:bidi="en-US"/>
        </w:rPr>
        <w:t>ige que a inserção no TR Digital da especificação da garantia exigida e das condições de manutenção e assistência técnica, quando for o caso.</w:t>
      </w:r>
    </w:p>
  </w:comment>
  <w:comment w:id="7" w:author="Autor" w:date="0-00-00T00:00:00Z" w:initials="A">
    <w:p>
      <w:r>
        <w:rPr>
          <w:rFonts w:ascii="Liberation Serif" w:hAnsi="Liberation Serif" w:eastAsia="Segoe UI" w:cs="DejaVu Sans"/>
          <w:b/>
          <w:bCs/>
          <w:i/>
          <w:iCs/>
          <w:lang w:val="en-US" w:eastAsia="en-US" w:bidi="en-US"/>
        </w:rPr>
        <w:t xml:space="preserve">Nota Explicativa: </w:t>
      </w:r>
      <w:r>
        <w:rPr>
          <w:rFonts w:ascii="Liberation Serif" w:hAnsi="Liberation Serif" w:eastAsia="Segoe UI" w:cs="DejaVu Sans"/>
          <w:i/>
          <w:iCs/>
          <w:lang w:val="en-US" w:eastAsia="en-US" w:bidi="en-US"/>
        </w:rPr>
        <w:t>Sugere-se esta redação para material de consumo.</w:t>
      </w:r>
    </w:p>
  </w:comment>
  <w:comment w:id="8" w:author="Autor" w:date="0-00-00T00:00:00Z" w:initials="A">
    <w:p>
      <w:r>
        <w:rPr>
          <w:rFonts w:ascii="Liberation Serif" w:hAnsi="Liberation Serif" w:eastAsia="Segoe UI" w:cs="DejaVu Sans"/>
          <w:b/>
          <w:bCs/>
          <w:i/>
          <w:iCs/>
          <w:color w:val="000000"/>
          <w:lang w:val="en-US" w:eastAsia="en-US" w:bidi="en-US"/>
        </w:rPr>
        <w:t xml:space="preserve">Nota Explicativa: </w:t>
      </w:r>
      <w:r>
        <w:rPr>
          <w:rFonts w:ascii="Liberation Serif" w:hAnsi="Liberation Serif" w:eastAsia="Segoe UI" w:cs="DejaVu Sans"/>
          <w:i/>
          <w:iCs/>
          <w:color w:val="000000"/>
          <w:lang w:val="en-US" w:eastAsia="en-US" w:bidi="en-US"/>
        </w:rPr>
        <w:t>Os gestores e fiscais do contrato serão designados pela autoridade máxima do órgão ou da entidade, ou a quem as normas de organização administrativa indicarem, na forma do art. 7º da Lei nº 14.133, de 2021, e art. 8º do Decreto nº 11.246, de 2022, devendo a Administração instruir os autos com as publicações dos atos de designação dos agentes públicos para o exercício dessas funções.</w:t>
      </w:r>
    </w:p>
  </w:comment>
  <w:comment w:id="9" w:author="Autor" w:date="0-00-00T00:00:00Z" w:initials="A">
    <w:p>
      <w:r>
        <w:rPr>
          <w:rFonts w:ascii="Liberation Serif" w:hAnsi="Liberation Serif" w:eastAsia="Segoe UI" w:cs="DejaVu Sans"/>
          <w:b/>
          <w:bCs/>
          <w:i/>
          <w:iCs/>
          <w:lang w:val="en-US" w:eastAsia="en-US" w:bidi="en-US"/>
        </w:rPr>
        <w:t>Nota Explicativa :</w:t>
      </w:r>
      <w:r>
        <w:rPr>
          <w:rFonts w:ascii="Liberation Serif" w:hAnsi="Liberation Serif" w:eastAsia="Segoe UI" w:cs="DejaVu Sans"/>
          <w:i/>
          <w:iCs/>
          <w:lang w:val="en-US" w:eastAsia="en-US" w:bidi="en-US"/>
        </w:rPr>
        <w:t xml:space="preserve"> A Lei nº 14.133, de 2021 (art. 162, parágrafo único), apregoa que “a aplicação de multa de mora não impedirá que a Administração a converta em compensatória e promova a extinção unilateral do contrato com a aplicação cumulada de outras sanções”. Dessa forma, a Administração deve decidir, caso a caso, de acordo com o objeto, </w:t>
      </w:r>
      <w:r>
        <w:rPr>
          <w:rFonts w:ascii="Liberation Serif" w:hAnsi="Liberation Serif" w:eastAsia="Segoe UI" w:cs="DejaVu Sans"/>
          <w:b/>
          <w:bCs/>
          <w:i/>
          <w:iCs/>
          <w:lang w:val="en-US" w:eastAsia="en-US" w:bidi="en-US"/>
        </w:rPr>
        <w:t>qual o prazo limite para a mora do contratado,</w:t>
      </w:r>
      <w:r>
        <w:rPr>
          <w:rFonts w:ascii="Liberation Serif" w:hAnsi="Liberation Serif" w:eastAsia="Segoe UI" w:cs="DejaVu Sans"/>
          <w:i/>
          <w:iCs/>
          <w:lang w:val="en-US" w:eastAsia="en-US" w:bidi="en-US"/>
        </w:rPr>
        <w:t xml:space="preserve"> a partir do qual a execução da prestação deixa de ser útil e enseja a substituição da multa moratória pela multa compensatória, além da extinção do contrato. Lembre-se que esse modelo é apenas uma sugestão; é possível escalonar as multas conforme os dias de atraso, por exemplo.</w:t>
      </w:r>
    </w:p>
  </w:comment>
  <w:comment w:id="10" w:author="Autor" w:date="0-00-00T00:00:00Z" w:initials="A">
    <w:p>
      <w:r>
        <w:rPr>
          <w:rFonts w:ascii="Liberation Serif" w:hAnsi="Liberation Serif" w:eastAsia="Segoe UI" w:cs="DejaVu Sans"/>
          <w:b/>
          <w:bCs/>
          <w:i/>
          <w:iCs/>
          <w:lang w:val="en-US" w:eastAsia="en-US" w:bidi="en-US"/>
        </w:rPr>
        <w:t xml:space="preserve">Nota Explicativa 1: </w:t>
      </w:r>
      <w:r>
        <w:rPr>
          <w:rFonts w:ascii="Liberation Serif" w:hAnsi="Liberation Serif" w:eastAsia="Segoe UI" w:cs="DejaVu Sans"/>
          <w:i/>
          <w:iCs/>
          <w:lang w:val="en-US" w:eastAsia="en-US" w:bidi="en-US"/>
        </w:rPr>
        <w:t>Os prazos e percentuais para a aplicação da multa moratória em caso de atraso na apresentação da garantia são aqueles indicados nas alíneas "e" e "f" do item 3.1 do Anexo VII-F da Instrução Normativa SEGES/MP n.º 05/2017, cuja aplicação aos processos regidos pela Lei n.º 14.133, de 2021, foi autorizada pela Instrução Normativa SEGES/ME nº 98, de 26 de dezembro de 2022.</w:t>
      </w:r>
    </w:p>
    <w:p>
      <w:r>
        <w:rPr>
          <w:rFonts w:ascii="Liberation Serif" w:hAnsi="Liberation Serif" w:eastAsia="Segoe UI"/>
          <w:lang w:val="en-US" w:eastAsia="en-US" w:bidi="en-US"/>
        </w:rPr>
      </w:r>
    </w:p>
    <w:p>
      <w:r>
        <w:rPr>
          <w:rFonts w:ascii="Liberation Serif" w:hAnsi="Liberation Serif" w:eastAsia="Segoe UI" w:cs="DejaVu Sans"/>
          <w:b/>
          <w:bCs/>
          <w:i/>
          <w:iCs/>
          <w:lang w:val="en-US" w:eastAsia="en-US" w:bidi="en-US"/>
        </w:rPr>
        <w:t xml:space="preserve">Nota Explicativa 2: </w:t>
      </w:r>
      <w:r>
        <w:rPr>
          <w:rFonts w:ascii="Liberation Serif" w:hAnsi="Liberation Serif" w:eastAsia="Segoe UI" w:cs="DejaVu Sans"/>
          <w:i/>
          <w:iCs/>
          <w:lang w:val="en-US" w:eastAsia="en-US" w:bidi="en-US"/>
        </w:rPr>
        <w:t>Recomenda-se suprimir a sanção relativa à apresentação, reposição ou suplementação da garantia caso esta não seja exigida para a contratação.</w:t>
      </w:r>
    </w:p>
  </w:comment>
  <w:comment w:id="11" w:author="Autor" w:date="0-00-00T00:00:00Z" w:initials="A">
    <w:p>
      <w:r>
        <w:rPr>
          <w:rFonts w:ascii="Liberation Serif" w:hAnsi="Liberation Serif" w:eastAsia="Segoe UI" w:cs="DejaVu Sans"/>
          <w:b/>
          <w:bCs/>
          <w:i/>
          <w:iCs/>
          <w:lang w:val="en-US" w:eastAsia="en-US" w:bidi="en-US"/>
        </w:rPr>
        <w:t>Nota Explicativa:</w:t>
      </w:r>
      <w:r>
        <w:rPr>
          <w:rFonts w:ascii="Liberation Serif" w:hAnsi="Liberation Serif" w:eastAsia="Segoe UI" w:cs="DejaVu Sans"/>
          <w:i/>
          <w:iCs/>
          <w:lang w:val="en-US" w:eastAsia="en-US" w:bidi="en-US"/>
        </w:rPr>
        <w:t xml:space="preserve"> O modelo contém redação mais simples de recebimento. Caso se entenda que há necessidade de maior detalhamento, o órgão poderá promover aprimoramento da redação nesse ponto, inclusive com disciplina do recebimento provisório pelo fiscal técnico e administrativo, se for o caso.</w:t>
      </w:r>
    </w:p>
  </w:comment>
  <w:comment w:id="12" w:author="Autor" w:date="0-00-00T00:00:00Z" w:initials="A">
    <w:p>
      <w:r>
        <w:rPr>
          <w:rFonts w:ascii="Liberation Serif" w:hAnsi="Liberation Serif" w:eastAsia="Segoe UI" w:cs="DejaVu Sans"/>
          <w:b/>
          <w:bCs/>
          <w:i/>
          <w:iCs/>
          <w:color w:val="000000"/>
          <w:lang w:val="en-US" w:eastAsia="en-US" w:bidi="en-US"/>
        </w:rPr>
        <w:t>Nota explicativa:</w:t>
      </w:r>
      <w:r>
        <w:rPr>
          <w:rFonts w:ascii="Liberation Serif" w:hAnsi="Liberation Serif" w:eastAsia="Segoe UI" w:cs="DejaVu Sans"/>
          <w:i/>
          <w:iCs/>
          <w:color w:val="000000"/>
          <w:lang w:val="en-US" w:eastAsia="en-US" w:bidi="en-US"/>
        </w:rPr>
        <w:t xml:space="preserve"> O art. 7º, inciso I, da Instrução Normativa SEGES/ME nº 77, de 4 de novembro de 2022, estabelece o prazo de 10 (dez dias) úteis para a liquidação da despesa, </w:t>
      </w:r>
      <w:r>
        <w:rPr>
          <w:rFonts w:ascii="Liberation Serif" w:hAnsi="Liberation Serif" w:eastAsia="Segoe UI" w:cs="DejaVu Sans"/>
          <w:b/>
          <w:bCs/>
          <w:i/>
          <w:iCs/>
          <w:color w:val="000000"/>
          <w:lang w:val="en-US" w:eastAsia="en-US" w:bidi="en-US"/>
        </w:rPr>
        <w:t xml:space="preserve">a contar do recebimento da nota fiscal ou instrumento de cobrança equivalente </w:t>
      </w:r>
      <w:r>
        <w:rPr>
          <w:rFonts w:ascii="Liberation Serif" w:hAnsi="Liberation Serif" w:eastAsia="Segoe UI" w:cs="DejaVu Sans"/>
          <w:i/>
          <w:iCs/>
          <w:color w:val="000000"/>
          <w:lang w:val="en-US" w:eastAsia="en-US" w:bidi="en-US"/>
        </w:rPr>
        <w:t xml:space="preserve">pela Administração. Tendo em vista que os bens serão entregues para a Administração juntamente com a respectiva nota fiscal ou instrumento equivalente de cobrança (fatura, invoice etc.), deve-se concluir que, no caso das compras, durante o curso do prazo de liquidação, a Administração deverá realizar também os recebimentos provisório e definitivo do bem. Em outras palavras, </w:t>
      </w:r>
      <w:r>
        <w:rPr>
          <w:rFonts w:ascii="Liberation Serif" w:hAnsi="Liberation Serif" w:eastAsia="Segoe UI" w:cs="DejaVu Sans"/>
          <w:b/>
          <w:bCs/>
          <w:i/>
          <w:iCs/>
          <w:color w:val="000000"/>
          <w:lang w:val="en-US" w:eastAsia="en-US" w:bidi="en-US"/>
        </w:rPr>
        <w:t>o prazo máximo de 10 dias úteis deverá ser suficiente para as providências de recebimentos provisório, definitivo e de liquidação</w:t>
      </w:r>
      <w:r>
        <w:rPr>
          <w:rFonts w:ascii="Liberation Serif" w:hAnsi="Liberation Serif" w:eastAsia="Segoe UI" w:cs="DejaVu Sans"/>
          <w:i/>
          <w:iCs/>
          <w:color w:val="000000"/>
          <w:lang w:val="en-US" w:eastAsia="en-US" w:bidi="en-US"/>
        </w:rPr>
        <w:t>. Assim, embora a Lei nº 14.133/21 não fixe prazo máximo de recebimento definitivo, este prazo deverá ser inferior ao fixado para liquidação de despesa pela IN SEGES/ME nº 77, de 2022. Portanto, a Administração deve definir o prazo de recebimento considerando o máximo de 10 dias úteis, a sua realidade administrativa, a complexidade do objeto e o tempo que será consumido para os procedimentos contábeis de liquidação. Em sendo detectado, na fase de planejamento da contratação (notadamente no gerenciamento dos riscos), que haverá dificuldades para cumprimento do prazo estabelecido, deverão ser previstas medidas para superar tais contingências.</w:t>
      </w:r>
    </w:p>
  </w:comment>
  <w:comment w:id="13" w:author="Autor" w:date="0-00-00T00:00:00Z" w:initials="A">
    <w:p>
      <w:r>
        <w:rPr>
          <w:rFonts w:ascii="Liberation Serif" w:hAnsi="Liberation Serif" w:eastAsia="Segoe UI" w:cs="DejaVu Sans"/>
          <w:b/>
          <w:bCs/>
          <w:i/>
          <w:iCs/>
          <w:color w:val="000000"/>
          <w:lang w:val="en-US" w:eastAsia="en-US" w:bidi="en-US"/>
        </w:rPr>
        <w:t xml:space="preserve">Nota Explicativa: </w:t>
      </w:r>
      <w:r>
        <w:rPr>
          <w:rFonts w:ascii="Liberation Serif" w:hAnsi="Liberation Serif" w:eastAsia="Segoe UI" w:cs="DejaVu Sans"/>
          <w:i/>
          <w:iCs/>
          <w:color w:val="000000"/>
          <w:lang w:val="en-US" w:eastAsia="en-US" w:bidi="en-US"/>
        </w:rPr>
        <w:t xml:space="preserve">Observar que o artigo 7º, §2º, da Instrução Normativa nº 77, de 2022, prevê que “Para as contratações decorrentes de despesas cujos valores não ultrapassem o limite de que trata o inciso II do art. 75 da Lei nº 14.133, de 2021, os prazos de que dos incisos I e II do caput </w:t>
      </w:r>
      <w:r>
        <w:rPr>
          <w:rFonts w:ascii="Liberation Serif" w:hAnsi="Liberation Serif" w:eastAsia="Segoe UI" w:cs="DejaVu Sans"/>
          <w:b/>
          <w:bCs/>
          <w:i/>
          <w:iCs/>
          <w:color w:val="000000"/>
          <w:lang w:val="en-US" w:eastAsia="en-US" w:bidi="en-US"/>
        </w:rPr>
        <w:t>serão reduzidos pela metade</w:t>
      </w:r>
      <w:r>
        <w:rPr>
          <w:rFonts w:ascii="Liberation Serif" w:hAnsi="Liberation Serif" w:eastAsia="Segoe UI" w:cs="DejaVu Sans"/>
          <w:i/>
          <w:iCs/>
          <w:color w:val="000000"/>
          <w:lang w:val="en-US" w:eastAsia="en-US" w:bidi="en-US"/>
        </w:rPr>
        <w:t>.” (g.n). Como o prazo máximo de liquidação será reduzido pela metade, então o prazo de recebimento também deverá ser ajustado.</w:t>
      </w:r>
    </w:p>
  </w:comment>
  <w:comment w:id="14" w:author="Autor" w:date="0-00-00T00:00:00Z" w:initials="A">
    <w:p>
      <w:r>
        <w:rPr>
          <w:rFonts w:ascii="Liberation Serif" w:hAnsi="Liberation Serif" w:eastAsia="Segoe UI" w:cs="DejaVu Sans"/>
          <w:b/>
          <w:bCs/>
          <w:i/>
          <w:iCs/>
          <w:color w:val="000000"/>
          <w:lang w:val="en-US" w:eastAsia="en-US" w:bidi="en-US"/>
        </w:rPr>
        <w:t>Nota Explicativa:</w:t>
      </w:r>
      <w:r>
        <w:rPr>
          <w:rFonts w:ascii="Liberation Serif" w:hAnsi="Liberation Serif" w:eastAsia="Segoe UI" w:cs="DejaVu Sans"/>
          <w:i/>
          <w:iCs/>
          <w:color w:val="000000"/>
          <w:lang w:val="en-US" w:eastAsia="en-US" w:bidi="en-US"/>
        </w:rPr>
        <w:t xml:space="preserve"> Deverá a Administração indicar o índice de preços a ser utilizado para a atualização monetária do valor devido ao contratado.</w:t>
      </w:r>
    </w:p>
  </w:comment>
  <w:comment w:id="15" w:author="Autor" w:date="0-00-00T00:00:00Z" w:initials="A">
    <w:p>
      <w:r>
        <w:rPr>
          <w:rFonts w:ascii="Liberation Serif" w:hAnsi="Liberation Serif" w:eastAsia="Segoe UI" w:cs="DejaVu Sans"/>
          <w:b/>
          <w:bCs/>
          <w:i/>
          <w:iCs/>
          <w:color w:val="000000"/>
          <w:lang w:val="en-US" w:eastAsia="en-US" w:bidi="en-US"/>
        </w:rPr>
        <w:t xml:space="preserve">Nota Explicativa: </w:t>
      </w:r>
      <w:r>
        <w:rPr>
          <w:rFonts w:ascii="Liberation Serif" w:hAnsi="Liberation Serif" w:eastAsia="Segoe UI" w:cs="DejaVu Sans"/>
          <w:i/>
          <w:iCs/>
          <w:color w:val="000000"/>
          <w:lang w:val="en-US" w:eastAsia="en-US" w:bidi="en-US"/>
        </w:rPr>
        <w:t>A natureza do contrato e o objeto da contratação irão determinar a retenção tributária eventualmente cabível, bem como a possibilidade de a empresa se beneficiar da condição de optante do Simples Nacional, dentre outras questões de caráter tributário.</w:t>
      </w:r>
    </w:p>
  </w:comment>
  <w:comment w:id="16" w:author="Autor" w:date="0-00-00T00:00:00Z" w:initials="A">
    <w:p>
      <w:r>
        <w:rPr>
          <w:rFonts w:ascii="Liberation Serif" w:hAnsi="Liberation Serif" w:eastAsia="Segoe UI" w:cs="DejaVu Sans"/>
          <w:b/>
          <w:bCs/>
          <w:i/>
          <w:iCs/>
          <w:lang w:val="en-US" w:eastAsia="en-US" w:bidi="en-US"/>
        </w:rPr>
        <w:t xml:space="preserve">Nota Explicativa: </w:t>
      </w:r>
      <w:r>
        <w:rPr>
          <w:rFonts w:ascii="Liberation Serif" w:hAnsi="Liberation Serif" w:eastAsia="Segoe UI" w:cs="DejaVu Sans"/>
          <w:i/>
          <w:iCs/>
          <w:lang w:val="en-US" w:eastAsia="en-US" w:bidi="en-US"/>
        </w:rPr>
        <w:t>A previsão da admissibilidade da cessão de credito em editais e contratos administrativos, embora não obrigatória, continua admitida por força do Parecer JL-01, do Advogado-Geral da União (disponível em http://www.planalto.gov.br/ccivil_03/AGU/Pareceres/2019-2022/PRC-JL-01-2020.htm), aprovado pelo Sr. Presidente da República em 26/05/2020, e, portanto, vinculante para toda a administração pública (arts. 40, §1º e 41 da Lei Complementar nº 73, de 1993).</w:t>
      </w:r>
    </w:p>
    <w:p>
      <w:r>
        <w:rPr>
          <w:rFonts w:ascii="Liberation Serif" w:hAnsi="Liberation Serif" w:eastAsia="Segoe UI" w:cs="DejaVu Sans"/>
          <w:i/>
          <w:iCs/>
          <w:lang w:val="en-US" w:eastAsia="en-US" w:bidi="en-US"/>
        </w:rPr>
        <w:t>Quanto a estas últimas, importa destacar a seguinte condicionante que foi erigida pelo referido Parecer nº JL – 01/2020 como requisito para a sua admissibilidade em contratos administrativos: inexistência de vedação no instrumento convocatório. Assim, relativamente às cessões de crédito em geral, ter-se-á por admitida desde que não haja vedação em cláusula contratual ou no instrumento convocatório.</w:t>
      </w:r>
    </w:p>
    <w:p>
      <w:r>
        <w:rPr>
          <w:rFonts w:ascii="Liberation Serif" w:hAnsi="Liberation Serif" w:eastAsia="Segoe UI"/>
          <w:lang w:val="en-US" w:eastAsia="en-US" w:bidi="en-US"/>
        </w:rPr>
      </w:r>
    </w:p>
    <w:p>
      <w:r>
        <w:rPr>
          <w:rFonts w:ascii="Liberation Serif" w:hAnsi="Liberation Serif" w:eastAsia="Segoe UI" w:cs="DejaVu Sans"/>
          <w:i/>
          <w:iCs/>
          <w:lang w:val="en-US" w:eastAsia="en-US" w:bidi="en-US"/>
        </w:rPr>
        <w:t>Por essa razão, tendo ou não a clausula, a cessão é admitida. Recomenda-se manter a disposição em razão das regras previstas no Parecer JL-01/2020, salvo se a cláusula for modificada para que conste uma vedação à cessão de crédito.</w:t>
      </w:r>
    </w:p>
  </w:comment>
  <w:comment w:id="17" w:author="Autor" w:date="0-00-00T00:00:00Z" w:initials="A">
    <w:p>
      <w:r>
        <w:rPr>
          <w:rFonts w:ascii="Liberation Serif" w:hAnsi="Liberation Serif" w:eastAsia="Segoe UI" w:cs="DejaVu Sans"/>
          <w:b/>
          <w:bCs/>
          <w:lang w:val="en-US" w:eastAsia="en-US" w:bidi="en-US"/>
        </w:rPr>
        <w:t xml:space="preserve">Nota Explicativa: </w:t>
      </w:r>
      <w:r>
        <w:rPr>
          <w:rFonts w:ascii="Liberation Serif" w:hAnsi="Liberation Serif" w:eastAsia="Segoe UI" w:cs="DejaVu Sans"/>
          <w:lang w:val="en-US" w:eastAsia="en-US" w:bidi="en-US"/>
        </w:rPr>
        <w:t>No caso desse subitem, o órgão contratante pode optar por mudar a redação para já vedar de plano as cessões de crédito</w:t>
      </w:r>
    </w:p>
  </w:comment>
  <w:comment w:id="18" w:author="Autor" w:date="0-00-00T00:00:00Z" w:initials="A">
    <w:p>
      <w:r>
        <w:rPr>
          <w:rFonts w:ascii="Liberation Serif" w:hAnsi="Liberation Serif" w:eastAsia="Segoe UI" w:cs="DejaVu Sans"/>
          <w:b/>
          <w:bCs/>
          <w:i/>
          <w:iCs/>
          <w:color w:val="000000"/>
          <w:lang w:val="en-US" w:eastAsia="en-US" w:bidi="en-US"/>
        </w:rPr>
        <w:t>Nota Explicativa:</w:t>
      </w:r>
      <w:r>
        <w:rPr>
          <w:rFonts w:ascii="Liberation Serif" w:hAnsi="Liberation Serif" w:eastAsia="Segoe UI" w:cs="DejaVu Sans"/>
          <w:i/>
          <w:iCs/>
          <w:color w:val="000000"/>
          <w:lang w:val="en-US" w:eastAsia="en-US" w:bidi="en-US"/>
        </w:rPr>
        <w:t xml:space="preserve"> Os condicionamentos desses subitens decorrem das conclusões do Parecer JL-01, de 18 de maio de 2020.</w:t>
      </w:r>
    </w:p>
  </w:comment>
  <w:comment w:id="19" w:author="Autor" w:date="0-00-00T00:00:00Z" w:initials="A">
    <w:p>
      <w:r>
        <w:rPr>
          <w:rFonts w:ascii="Liberation Serif" w:hAnsi="Liberation Serif" w:eastAsia="Segoe UI" w:cs="DejaVu Sans"/>
          <w:lang w:val="en-US" w:eastAsia="en-US" w:bidi="en-US"/>
        </w:rPr>
        <w:t>A Instrução Normativa SEGES/MGI nº 82/2025 enquadrou o AntecipaGov como uma operação de crédito comum. Não mais como uma cessão de crédito.</w:t>
      </w:r>
    </w:p>
    <w:p>
      <w:r>
        <w:rPr>
          <w:rFonts w:ascii="Liberation Serif" w:hAnsi="Liberation Serif" w:eastAsia="Segoe UI"/>
          <w:lang w:val="en-US" w:eastAsia="en-US" w:bidi="en-US"/>
        </w:rPr>
      </w:r>
    </w:p>
    <w:p>
      <w:r>
        <w:rPr>
          <w:rFonts w:ascii="Liberation Serif" w:hAnsi="Liberation Serif" w:eastAsia="Segoe UI" w:cs="DejaVu Sans"/>
          <w:lang w:val="en-US" w:eastAsia="en-US" w:bidi="en-US"/>
        </w:rPr>
        <w:t xml:space="preserve">Uma mudança de entendimento correta, já que, pelo funcionamento do sistema, o pagamento à contratada é perfectibilizado, já que feito em conta de sua titularidade, sem qualquer cessão de crédito. </w:t>
      </w:r>
    </w:p>
    <w:p>
      <w:r>
        <w:rPr>
          <w:rFonts w:ascii="Liberation Serif" w:hAnsi="Liberation Serif" w:eastAsia="Segoe UI"/>
          <w:lang w:val="en-US" w:eastAsia="en-US" w:bidi="en-US"/>
        </w:rPr>
      </w:r>
    </w:p>
    <w:p>
      <w:r>
        <w:rPr>
          <w:rFonts w:ascii="Liberation Serif" w:hAnsi="Liberation Serif" w:eastAsia="Segoe UI" w:cs="DejaVu Sans"/>
          <w:lang w:val="en-US" w:eastAsia="en-US" w:bidi="en-US"/>
        </w:rPr>
        <w:t>Mesmo se houver a necessidade de "resgate" pela instituição financeira dos valores depositados nessa conta, como esta é do contratado, não é uma cessao de crédito, de haveres futuros, mas sim uma simples transferência pelo contratado à instituição financeira. O Antecipagov possibilita que se coloque como garantia, em operações de credito, o valor recebido a título de pagamentos contratuais, mas não haveres futuros, já que o pagamento ainda é feito à contratada e não à instituição financeira.</w:t>
      </w:r>
    </w:p>
    <w:p>
      <w:r>
        <w:rPr>
          <w:rFonts w:ascii="Liberation Serif" w:hAnsi="Liberation Serif" w:eastAsia="Segoe UI"/>
          <w:lang w:val="en-US" w:eastAsia="en-US" w:bidi="en-US"/>
        </w:rPr>
      </w:r>
    </w:p>
    <w:p>
      <w:r>
        <w:rPr>
          <w:rFonts w:ascii="Liberation Serif" w:hAnsi="Liberation Serif" w:eastAsia="Segoe UI" w:cs="DejaVu Sans"/>
          <w:lang w:val="en-US" w:eastAsia="en-US" w:bidi="en-US"/>
        </w:rPr>
        <w:t>Não sendo, portanto, uma cessão de crédito, nem mesmo fiduciária, a operação não é regulada pelo Parecer JL-01, de 2020 ou por esta seção. Nesse sentido, a própria Instrução Normativa dispõe que "A ausência de previsão expressa no contrato ou no termo de referência não impede a realização</w:t>
      </w:r>
    </w:p>
    <w:p>
      <w:r>
        <w:rPr>
          <w:rFonts w:ascii="Liberation Serif" w:hAnsi="Liberation Serif" w:eastAsia="Segoe UI" w:cs="DejaVu Sans"/>
          <w:lang w:val="en-US" w:eastAsia="en-US" w:bidi="en-US"/>
        </w:rPr>
        <w:t xml:space="preserve"> de operação de crédito no Portal AntecipaGov".</w:t>
      </w:r>
    </w:p>
  </w:comment>
  <w:comment w:id="21" w:author="Autor" w:date="0-00-00T00:00:00Z" w:initials="A">
    <w:p>
      <w:r>
        <w:rPr>
          <w:rFonts w:ascii="Liberation Serif" w:hAnsi="Liberation Serif" w:eastAsia="Segoe UI" w:cs="DejaVu Sans"/>
          <w:b/>
          <w:bCs/>
          <w:i/>
          <w:iCs/>
          <w:lang w:val="en-US" w:eastAsia="en-US" w:bidi="en-US"/>
        </w:rPr>
        <w:t>Nota explicativa</w:t>
      </w:r>
      <w:r>
        <w:rPr>
          <w:rFonts w:ascii="Liberation Serif" w:hAnsi="Liberation Serif" w:eastAsia="Segoe UI" w:cs="DejaVu Sans"/>
          <w:i/>
          <w:iCs/>
          <w:lang w:val="en-US" w:eastAsia="en-US" w:bidi="en-US"/>
        </w:rPr>
        <w:t>: O PARECER n. 00003/2023/DECOR/CGU/AGU, aprovado pelo Advogado-Geral da União, ratificou o entendimento da Consultoria-Geral da União de que o reajuste em sentido estrito dos preços contratados, por meio da aplicação de índice que reflita efetivamente as variações dos custos do mercado, não representa uma modificação contratual e</w:t>
      </w:r>
      <w:r>
        <w:rPr>
          <w:rFonts w:ascii="Liberation Serif" w:hAnsi="Liberation Serif" w:eastAsia="Segoe UI" w:cs="DejaVu Sans"/>
          <w:b/>
          <w:bCs/>
          <w:i/>
          <w:iCs/>
          <w:lang w:val="en-US" w:eastAsia="en-US" w:bidi="en-US"/>
        </w:rPr>
        <w:t xml:space="preserve"> sua concessão ex officio pela Administração deve ser a regra,</w:t>
      </w:r>
      <w:r>
        <w:rPr>
          <w:rFonts w:ascii="Liberation Serif" w:hAnsi="Liberation Serif" w:eastAsia="Segoe UI" w:cs="DejaVu Sans"/>
          <w:i/>
          <w:iCs/>
          <w:lang w:val="en-US" w:eastAsia="en-US" w:bidi="en-US"/>
        </w:rPr>
        <w:t xml:space="preserve"> independentemente da natureza do objeto, incluindo serviços continuados e contratos de escopo. Todavia, restou assentado, excepcionalmente, que, "Por caracterizar-se o reajuste em sentido estrito como direito de ordem patrimonial e disponível, não há óbice jurídico para que, em tese, seja consumada a renúncia tácita ou a preclusão lógica do seu exercício nos contratos continuados e nos contratos de escopo, </w:t>
      </w:r>
      <w:r>
        <w:rPr>
          <w:rFonts w:ascii="Liberation Serif" w:hAnsi="Liberation Serif" w:eastAsia="Segoe UI" w:cs="DejaVu Sans"/>
          <w:b/>
          <w:bCs/>
          <w:i/>
          <w:iCs/>
          <w:lang w:val="en-US" w:eastAsia="en-US" w:bidi="en-US"/>
        </w:rPr>
        <w:t>desde que cumulativamente:</w:t>
      </w:r>
      <w:r>
        <w:rPr>
          <w:rFonts w:ascii="Liberation Serif" w:hAnsi="Liberation Serif" w:eastAsia="Segoe UI" w:cs="DejaVu Sans"/>
          <w:i/>
          <w:iCs/>
          <w:lang w:val="en-US" w:eastAsia="en-US" w:bidi="en-US"/>
        </w:rPr>
        <w:t xml:space="preserve"> (a) o edital ou contrato preveja expressamente que a concessão do reajuste resta condicionada à solicitação do contratado; (b) que não haja solicitação do reajuste antes da celebração de aditamento de vigência; (c) seja celebrado aditamento para a prorrogação do prazo de vigência do contrato sem qualquer ressalva quanto à ulterior análise pela Administração do reajuste e (d) o edital expressamente preveja que a formalização do aditamento sem a concessão do reajuste, ou ressalva de sua superveniente análise, será considerada como renúncia ou preclusão lógica do direito". Observe-se que, para condicionar o reajuste à solicitação do contratado, a Administração deverá apresentar </w:t>
      </w:r>
      <w:r>
        <w:rPr>
          <w:rFonts w:ascii="Liberation Serif" w:hAnsi="Liberation Serif" w:eastAsia="Segoe UI" w:cs="DejaVu Sans"/>
          <w:b/>
          <w:bCs/>
          <w:i/>
          <w:iCs/>
          <w:lang w:val="en-US" w:eastAsia="en-US" w:bidi="en-US"/>
        </w:rPr>
        <w:t>motivação idônea</w:t>
      </w:r>
      <w:r>
        <w:rPr>
          <w:rFonts w:ascii="Liberation Serif" w:hAnsi="Liberation Serif" w:eastAsia="Segoe UI" w:cs="DejaVu Sans"/>
          <w:i/>
          <w:iCs/>
          <w:lang w:val="en-US" w:eastAsia="en-US" w:bidi="en-US"/>
        </w:rPr>
        <w:t xml:space="preserve"> nos autos do processo administrativo, promovendo as respectivas adequações na cláusula sétima da minuta de termo de contrato. </w:t>
      </w:r>
    </w:p>
  </w:comment>
  <w:comment w:id="20" w:author="Autor" w:date="0-00-00T00:00:00Z" w:initials="A">
    <w:p>
      <w:r>
        <w:rPr>
          <w:rFonts w:ascii="Liberation Serif" w:hAnsi="Liberation Serif" w:eastAsia="Segoe UI" w:cs="DejaVu Sans"/>
          <w:b/>
          <w:bCs/>
          <w:i/>
          <w:iCs/>
          <w:color w:val="000000"/>
          <w:lang w:val="en-US" w:eastAsia="en-US" w:bidi="en-US"/>
        </w:rPr>
        <w:t>Nota Explicativa 1</w:t>
      </w:r>
      <w:r>
        <w:rPr>
          <w:rFonts w:ascii="Liberation Serif" w:hAnsi="Liberation Serif" w:eastAsia="Segoe UI" w:cs="DejaVu Sans"/>
          <w:i/>
          <w:iCs/>
          <w:color w:val="000000"/>
          <w:lang w:val="en-US" w:eastAsia="en-US" w:bidi="en-US"/>
        </w:rPr>
        <w:t xml:space="preserve">: A Administração deverá atentar para que o índice utilizado seja o indicador mais próximo da efetiva variação dos preços dos bens a serem fornecidos, “...o qual deverá ser preferencialmente um índice setorial ou específico, e, apenas na ausência de tal índice, um índice geral, o qual deverá ser o mais conservador possível de forma a não onerar injustificadamente a administração...” – TCU, Ac. nº 114/2013-Plenário. </w:t>
      </w:r>
    </w:p>
    <w:p>
      <w:r>
        <w:rPr>
          <w:rFonts w:ascii="Liberation Serif" w:hAnsi="Liberation Serif" w:eastAsia="Segoe UI"/>
          <w:lang w:val="en-US" w:eastAsia="en-US" w:bidi="en-US"/>
        </w:rPr>
      </w:r>
    </w:p>
    <w:p>
      <w:r>
        <w:rPr>
          <w:rFonts w:ascii="Liberation Serif" w:hAnsi="Liberation Serif" w:eastAsia="Segoe UI" w:cs="DejaVu Sans"/>
          <w:b/>
          <w:bCs/>
          <w:i/>
          <w:iCs/>
          <w:color w:val="000000"/>
          <w:lang w:val="en-US" w:eastAsia="en-US" w:bidi="en-US"/>
        </w:rPr>
        <w:t xml:space="preserve">Nota Explicativa 2: </w:t>
      </w:r>
      <w:r>
        <w:rPr>
          <w:rFonts w:ascii="Liberation Serif" w:hAnsi="Liberation Serif" w:eastAsia="Segoe UI" w:cs="DejaVu Sans"/>
          <w:i/>
          <w:iCs/>
          <w:color w:val="000000"/>
          <w:lang w:val="en-US" w:eastAsia="en-US" w:bidi="en-US"/>
        </w:rPr>
        <w:t xml:space="preserve">A Administração poderá, ainda, utilizar índices diferenciados, inclusive mais de um, de forma justificada, de acordo com as peculiaridades envolvidas no objeto contratual (art. 25, § 7º, da Lei n.º 14.133, de 2021). Caso haja a utilização de mais de um índice, deverá a Administração ajustar a redação da cláusula de modo a especificar o insumo respectivo sobre o qual incidirá cada índice de correção. </w:t>
      </w:r>
    </w:p>
  </w:comment>
  <w:comment w:id="22" w:author="Autor" w:date="0-00-00T00:00:00Z" w:initials="A">
    <w:p>
      <w:r>
        <w:rPr>
          <w:rFonts w:ascii="Liberation Serif" w:hAnsi="Liberation Serif" w:eastAsia="Segoe UI" w:cs="DejaVu Sans"/>
          <w:b/>
          <w:bCs/>
          <w:i/>
          <w:iCs/>
          <w:lang w:val="en-US" w:eastAsia="en-US" w:bidi="en-US"/>
        </w:rPr>
        <w:t xml:space="preserve">Nota Explicativa 1: </w:t>
      </w:r>
      <w:r>
        <w:rPr>
          <w:rFonts w:ascii="Liberation Serif" w:hAnsi="Liberation Serif" w:eastAsia="Segoe UI" w:cs="DejaVu Sans"/>
          <w:i/>
          <w:iCs/>
          <w:lang w:val="en-US" w:eastAsia="en-US" w:bidi="en-US"/>
        </w:rPr>
        <w:t>Para o caso de contratação direta, adequar o título da subseção e registrar a justificativa para a dispensa ou inexigibilidade de licitação.</w:t>
      </w:r>
    </w:p>
    <w:p>
      <w:r>
        <w:rPr>
          <w:rFonts w:ascii="Liberation Serif" w:hAnsi="Liberation Serif" w:eastAsia="Segoe UI"/>
          <w:lang w:val="en-US" w:eastAsia="en-US" w:bidi="en-US"/>
        </w:rPr>
      </w:r>
    </w:p>
    <w:p>
      <w:r>
        <w:rPr>
          <w:rFonts w:ascii="Liberation Serif" w:hAnsi="Liberation Serif" w:eastAsia="Segoe UI" w:cs="DejaVu Sans"/>
          <w:b/>
          <w:bCs/>
          <w:i/>
          <w:iCs/>
          <w:lang w:val="en-US" w:eastAsia="en-US" w:bidi="en-US"/>
        </w:rPr>
        <w:t>Nota Explicativa 2:</w:t>
      </w:r>
      <w:r>
        <w:rPr>
          <w:rFonts w:ascii="Liberation Serif" w:hAnsi="Liberation Serif" w:eastAsia="Segoe UI" w:cs="DejaVu Sans"/>
          <w:i/>
          <w:iCs/>
          <w:lang w:val="en-US" w:eastAsia="en-US" w:bidi="en-US"/>
        </w:rPr>
        <w:t xml:space="preserve"> A Lei n.º 14.133, de 2021, ao contrário da Lei n.º 8.666, de 1993, não define as modalidades de licitação em razão do valor do objeto, mas, sim, em razão de sua natureza ou complexidade. Assim, enquanto o pregão é a modalidade de licitação obrigatória para aquisição de bens e serviços comuns (art. 6º, inciso XLI, c/c art. 29), exclusivamente pelos critérios de julgamento de menor preço ou maior desconto, a concorrência é a modalidade cabível para a contratação de bens e serviços especiais e de obras e serviços comuns e especiais de engenharia (art. 6º, inciso XXXVIII, c/c o art. 29), pelos critérios de menor preço, melhor técnica ou conteúdo artístico, técnica e preço, maior retorno econômico e maior desconto. A Administração deverá atentar para o regramento legal e definir a modalidade de licitação e o critério de julgamento a serem adotados, conforme a natureza do objeto e suas especificidades. </w:t>
      </w:r>
    </w:p>
  </w:comment>
  <w:comment w:id="23" w:author="Autor" w:date="0-00-00T00:00:00Z" w:initials="A">
    <w:p>
      <w:r>
        <w:rPr>
          <w:rFonts w:ascii="Liberation Serif" w:hAnsi="Liberation Serif" w:eastAsia="Segoe UI" w:cs="DejaVu Sans"/>
          <w:b/>
          <w:bCs/>
          <w:i/>
          <w:iCs/>
          <w:color w:val="000000"/>
          <w:lang w:val="en-US" w:eastAsia="en-US" w:bidi="en-US"/>
        </w:rPr>
        <w:t>Nota Explicativa:</w:t>
      </w:r>
      <w:r>
        <w:rPr>
          <w:rFonts w:ascii="Liberation Serif" w:hAnsi="Liberation Serif" w:eastAsia="Segoe UI" w:cs="DejaVu Sans"/>
          <w:i/>
          <w:iCs/>
          <w:color w:val="000000"/>
          <w:lang w:val="en-US" w:eastAsia="en-US" w:bidi="en-US"/>
        </w:rPr>
        <w:t xml:space="preserve"> É fundamental que a Administração observe que exigências demasiadas poderão prejudicar a competitividade da licitação e ofender a o disposto no art. 37, inciso XXI da Constituição Federal, o qual preceitua que “o processo de licitação pública... somente permitirá as exigências de qualificação técnica e econômica indispensáveis à garantia do cumprimento das obrigações”.</w:t>
      </w:r>
    </w:p>
    <w:p>
      <w:r>
        <w:rPr>
          <w:rFonts w:ascii="Liberation Serif" w:hAnsi="Liberation Serif" w:eastAsia="Segoe UI" w:cs="DejaVu Sans"/>
          <w:i/>
          <w:iCs/>
          <w:color w:val="000000"/>
          <w:lang w:val="en-US" w:eastAsia="en-US" w:bidi="en-US"/>
        </w:rPr>
        <w:t>O art. 70, III, da Lei Nº 14.133/2021, por sua vez, dispõe que as exigências de habilitação poderão ser dispensadas, “total ou parcialmente, nas contratações para entrega imediata, nas contratações em valores inferiores a 1/4 (um quarto) do limite para dispensa de licitação para compras em geral e nas contratações de produto para pesquisa e desenvolvimento até o valor de R$ 300.000,00 (trezentos mil reais).” (Referidos valores são atualizados anualmente por Decreto, conforme art. 182 da mesma Lei).</w:t>
      </w:r>
    </w:p>
    <w:p>
      <w:r>
        <w:rPr>
          <w:rFonts w:ascii="Liberation Serif" w:hAnsi="Liberation Serif" w:eastAsia="Segoe UI" w:cs="DejaVu Sans"/>
          <w:i/>
          <w:iCs/>
          <w:color w:val="000000"/>
          <w:lang w:val="en-US" w:eastAsia="en-US" w:bidi="en-US"/>
        </w:rPr>
        <w:t xml:space="preserve">A combinação da disposição constitucional com a disposição legal resulta que as exigências de qualificação técnica e econômica nas situações retratadas no art. 70, III, deve ser excepcional e justificada. Nas demais situações, em razão da diretriz constitucional, a Administração deve observar, diante do caso concreto, se o objeto da contratação demanda a exigência de todos os requisitos de habilitação apresentados neste modelo, levando-se em consideração o vulto e/ou a complexidade do objeto, a essencialidade do serviço e os riscos decorrentes de sua paralisação em função da eventual incapacidade econômica da contratada em suportar vicissitudes contratuais, excluindo-se o que entender excessivo. </w:t>
      </w:r>
    </w:p>
    <w:p>
      <w:r>
        <w:rPr>
          <w:rFonts w:ascii="Liberation Serif" w:hAnsi="Liberation Serif" w:eastAsia="Segoe UI" w:cs="DejaVu Sans"/>
          <w:i/>
          <w:iCs/>
          <w:color w:val="000000"/>
          <w:lang w:val="en-US" w:eastAsia="en-US" w:bidi="en-US"/>
        </w:rPr>
        <w:t>Em contratações divididas em itens, as exigências de habilitação podem adequar-se a essa divisibilidade, sendo possível, em um mesmo instrumento, a exigência de requisitos de habilitação mais amplos somente para alguns itens. Para se fazer isso, basta acrescentar uma ressalva ao final na exigência pertinente, tal como “(exigência relativa somente aos itens X, Y, Z)”.</w:t>
      </w:r>
    </w:p>
    <w:p>
      <w:r>
        <w:rPr>
          <w:rFonts w:ascii="Liberation Serif" w:hAnsi="Liberation Serif" w:eastAsia="Segoe UI" w:cs="DejaVu Sans"/>
          <w:i/>
          <w:iCs/>
          <w:color w:val="000000"/>
          <w:lang w:val="en-US" w:eastAsia="en-US" w:bidi="en-US"/>
        </w:rPr>
        <w:t>É vedada a inclusão de requisitos que não tenham suporte nos arts. 66 a 69 da Lei nº 14.133, de 2021.</w:t>
      </w:r>
    </w:p>
  </w:comment>
  <w:comment w:id="25" w:author="Autor" w:date="0-00-00T00:00:00Z" w:initials="A">
    <w:p>
      <w:r>
        <w:rPr>
          <w:rFonts w:ascii="Liberation Serif" w:hAnsi="Liberation Serif" w:eastAsia="Segoe UI" w:cs="DejaVu Sans"/>
          <w:b/>
          <w:bCs/>
          <w:i/>
          <w:iCs/>
          <w:color w:val="000000"/>
          <w:lang w:val="en-US" w:eastAsia="en-US" w:bidi="en-US"/>
        </w:rPr>
        <w:t>Nota Explicativa:</w:t>
      </w:r>
      <w:r>
        <w:rPr>
          <w:rFonts w:ascii="Liberation Serif" w:hAnsi="Liberation Serif" w:eastAsia="Segoe UI" w:cs="DejaVu Sans"/>
          <w:i/>
          <w:iCs/>
          <w:color w:val="000000"/>
          <w:lang w:val="en-US" w:eastAsia="en-US" w:bidi="en-US"/>
        </w:rPr>
        <w:t xml:space="preserve"> A Instrução Normativa SEGES/ME nº 116, de 21 de dezembro de 2021, estabelece procedimentos para a participação de pessoa física nas contratações públicas regidas pela Lei nº 14.133, de 2021, no âmbito da Administração Pública federal direta, autárquica e fundacional. Em seu art. 2º, a norma considera pessoa física “ todo o trabalhador autônomo, sem qualquer vínculo de subordinação para fins de execução do objeto da contratação pública, incluindo os profissionais liberais não enquadrados como sociedade empresária ou empresário individual, nos termos das legislações específicas, que participa ou manifesta a intenção de participar de processo de contratação pública, sendo equiparado a fornecedor ou ao prestador de serviço que, em atendimento à solicitação da Administração, oferece proposta”.</w:t>
      </w:r>
    </w:p>
    <w:p>
      <w:r>
        <w:rPr>
          <w:rFonts w:ascii="Liberation Serif" w:hAnsi="Liberation Serif" w:eastAsia="Segoe UI" w:cs="DejaVu Sans"/>
          <w:i/>
          <w:iCs/>
          <w:color w:val="000000"/>
          <w:lang w:val="en-US" w:eastAsia="en-US" w:bidi="en-US"/>
        </w:rPr>
        <w:t xml:space="preserve">A IN SEGES/ME nº 116, de 2021, determina, em seu art. 4º, caput, que os editais ou os avisos de contratação direta possibilitem a contratação das pessoas físicas, em observância aos objetivos da isonomia e da justa competição. Ainda de acordo com o parágrafo único desse mesmo dispositivo, será ressalvada a participação de pessoas físicas nas licitações ou contratações diretas, “quando a contratação exigir </w:t>
      </w:r>
      <w:r>
        <w:rPr>
          <w:rFonts w:ascii="Liberation Serif" w:hAnsi="Liberation Serif" w:eastAsia="Segoe UI" w:cs="DejaVu Sans"/>
          <w:b/>
          <w:bCs/>
          <w:i/>
          <w:iCs/>
          <w:color w:val="000000"/>
          <w:lang w:val="en-US" w:eastAsia="en-US" w:bidi="en-US"/>
        </w:rPr>
        <w:t>capital social mínimo</w:t>
      </w:r>
      <w:r>
        <w:rPr>
          <w:rFonts w:ascii="Liberation Serif" w:hAnsi="Liberation Serif" w:eastAsia="Segoe UI" w:cs="DejaVu Sans"/>
          <w:i/>
          <w:iCs/>
          <w:color w:val="000000"/>
          <w:lang w:val="en-US" w:eastAsia="en-US" w:bidi="en-US"/>
        </w:rPr>
        <w:t xml:space="preserve"> e </w:t>
      </w:r>
      <w:r>
        <w:rPr>
          <w:rFonts w:ascii="Liberation Serif" w:hAnsi="Liberation Serif" w:eastAsia="Segoe UI" w:cs="DejaVu Sans"/>
          <w:b/>
          <w:bCs/>
          <w:i/>
          <w:iCs/>
          <w:color w:val="000000"/>
          <w:lang w:val="en-US" w:eastAsia="en-US" w:bidi="en-US"/>
        </w:rPr>
        <w:t>estrutura mínima</w:t>
      </w:r>
      <w:r>
        <w:rPr>
          <w:rFonts w:ascii="Liberation Serif" w:hAnsi="Liberation Serif" w:eastAsia="Segoe UI" w:cs="DejaVu Sans"/>
          <w:i/>
          <w:iCs/>
          <w:color w:val="000000"/>
          <w:lang w:val="en-US" w:eastAsia="en-US" w:bidi="en-US"/>
        </w:rPr>
        <w:t xml:space="preserve">, com equipamentos, instalações e equipe de profissionais ou corpo técnico para a execução do objeto </w:t>
      </w:r>
      <w:r>
        <w:rPr>
          <w:rFonts w:ascii="Liberation Serif" w:hAnsi="Liberation Serif" w:eastAsia="Segoe UI" w:cs="DejaVu Sans"/>
          <w:b/>
          <w:bCs/>
          <w:i/>
          <w:iCs/>
          <w:color w:val="000000"/>
          <w:lang w:val="en-US" w:eastAsia="en-US" w:bidi="en-US"/>
        </w:rPr>
        <w:t>incompatíveis com a natureza profissional da pessoa física</w:t>
      </w:r>
      <w:r>
        <w:rPr>
          <w:rFonts w:ascii="Liberation Serif" w:hAnsi="Liberation Serif" w:eastAsia="Segoe UI" w:cs="DejaVu Sans"/>
          <w:i/>
          <w:iCs/>
          <w:color w:val="000000"/>
          <w:lang w:val="en-US" w:eastAsia="en-US" w:bidi="en-US"/>
        </w:rPr>
        <w:t xml:space="preserve">, conforme </w:t>
      </w:r>
      <w:r>
        <w:rPr>
          <w:rFonts w:ascii="Liberation Serif" w:hAnsi="Liberation Serif" w:eastAsia="Segoe UI" w:cs="DejaVu Sans"/>
          <w:b/>
          <w:bCs/>
          <w:i/>
          <w:iCs/>
          <w:color w:val="000000"/>
          <w:lang w:val="en-US" w:eastAsia="en-US" w:bidi="en-US"/>
        </w:rPr>
        <w:t>demonstrado em estudo técnico preliminar</w:t>
      </w:r>
      <w:r>
        <w:rPr>
          <w:rFonts w:ascii="Liberation Serif" w:hAnsi="Liberation Serif" w:eastAsia="Segoe UI" w:cs="DejaVu Sans"/>
          <w:i/>
          <w:iCs/>
          <w:color w:val="000000"/>
          <w:lang w:val="en-US" w:eastAsia="en-US" w:bidi="en-US"/>
        </w:rPr>
        <w:t xml:space="preserve">”. Portanto, a possibilidade, ou não, de contratação de pessoas físicas deverá ser objeto de prévia análise e manifestação técnica por parte do órgão contratante, na fase de planejamento da contratação. </w:t>
      </w:r>
    </w:p>
    <w:p>
      <w:r>
        <w:rPr>
          <w:rFonts w:ascii="Liberation Serif" w:hAnsi="Liberation Serif" w:eastAsia="Segoe UI" w:cs="DejaVu Sans"/>
          <w:i/>
          <w:iCs/>
          <w:color w:val="000000"/>
          <w:lang w:val="en-US" w:eastAsia="en-US" w:bidi="en-US"/>
        </w:rPr>
        <w:t>O Decreto n.º 10.977, de 23 de fevereiro de 2022, que regulamenta a Lei nº 7.116, de 29 de agosto de 1983, e a Lei nº 9.454, de 7 de abril de 1997, estabelece, em seu art. 3º, que a Carteira de Identidade passa a adotar o número de inscrição no Cadastro de Pessoas Físicas - CPF como o número do registro geral nacional previsto no inciso IV do </w:t>
      </w:r>
      <w:r>
        <w:rPr>
          <w:rFonts w:ascii="Liberation Serif" w:hAnsi="Liberation Serif" w:eastAsia="Segoe UI" w:cs="DejaVu Sans"/>
          <w:b/>
          <w:bCs/>
          <w:i/>
          <w:iCs/>
          <w:color w:val="000000"/>
          <w:lang w:val="en-US" w:eastAsia="en-US" w:bidi="en-US"/>
        </w:rPr>
        <w:t>caput </w:t>
      </w:r>
      <w:r>
        <w:rPr>
          <w:rFonts w:ascii="Liberation Serif" w:hAnsi="Liberation Serif" w:eastAsia="Segoe UI" w:cs="DejaVu Sans"/>
          <w:i/>
          <w:iCs/>
          <w:color w:val="000000"/>
          <w:lang w:val="en-US" w:eastAsia="en-US" w:bidi="en-US"/>
        </w:rPr>
        <w:t>do seu art. 11.</w:t>
      </w:r>
    </w:p>
  </w:comment>
  <w:comment w:id="24" w:author="Autor" w:date="0-00-00T00:00:00Z" w:initials="A">
    <w:p>
      <w:r>
        <w:rPr>
          <w:rFonts w:ascii="Liberation Serif" w:hAnsi="Liberation Serif" w:eastAsia="Segoe UI" w:cs="DejaVu Sans"/>
          <w:b/>
          <w:bCs/>
          <w:i/>
          <w:iCs/>
          <w:color w:val="000000"/>
          <w:lang w:val="en-US" w:eastAsia="en-US" w:bidi="en-US"/>
        </w:rPr>
        <w:t>Nota Explicativa:</w:t>
      </w:r>
      <w:r>
        <w:rPr>
          <w:rFonts w:ascii="Liberation Serif" w:hAnsi="Liberation Serif" w:eastAsia="Segoe UI" w:cs="DejaVu Sans"/>
          <w:i/>
          <w:iCs/>
          <w:color w:val="000000"/>
          <w:lang w:val="en-US" w:eastAsia="en-US" w:bidi="en-US"/>
        </w:rPr>
        <w:t xml:space="preserve"> A Instrução Normativa SEGES/ME nº 116, de 21 de dezembro de 2021, estabelece procedimentos para a participação de pessoa física nas contratações públicas regidas pela Lei nº 14.133, de 2021, no âmbito da Administração Pública federal direta, autárquica e fundacional. Em seu art. 2º, a norma considera pessoa física “ todo o trabalhador autônomo, sem qualquer vínculo de subordinação para fins de execução do objeto da contratação pública, incluindo os profissionais liberais não enquadrados como sociedade empresária ou empresário individual, nos termos das legislações específicas, que participa ou manifesta a intenção de participar de processo de contratação pública, sendo equiparado a fornecedor ou ao prestador de serviço que, em atendimento à solicitação da Administração, oferece proposta”.</w:t>
      </w:r>
    </w:p>
    <w:p>
      <w:r>
        <w:rPr>
          <w:rFonts w:ascii="Liberation Serif" w:hAnsi="Liberation Serif" w:eastAsia="Segoe UI" w:cs="DejaVu Sans"/>
          <w:i/>
          <w:iCs/>
          <w:color w:val="000000"/>
          <w:lang w:val="en-US" w:eastAsia="en-US" w:bidi="en-US"/>
        </w:rPr>
        <w:t xml:space="preserve">A IN SEGES/ME nº 116, de 2021, determina, em seu art. 4º, caput, que os editais ou os avisos de contratação direta possibilitem a contratação das pessoas físicas, em observância aos objetivos da isonomia e da justa competição. Ainda de acordo com o parágrafo único desse mesmo dispositivo, será ressalvada a participação de pessoas físicas nas licitações ou contratações diretas, “quando a contratação exigir </w:t>
      </w:r>
      <w:r>
        <w:rPr>
          <w:rFonts w:ascii="Liberation Serif" w:hAnsi="Liberation Serif" w:eastAsia="Segoe UI" w:cs="DejaVu Sans"/>
          <w:b/>
          <w:bCs/>
          <w:i/>
          <w:iCs/>
          <w:color w:val="000000"/>
          <w:lang w:val="en-US" w:eastAsia="en-US" w:bidi="en-US"/>
        </w:rPr>
        <w:t>capital social mínimo</w:t>
      </w:r>
      <w:r>
        <w:rPr>
          <w:rFonts w:ascii="Liberation Serif" w:hAnsi="Liberation Serif" w:eastAsia="Segoe UI" w:cs="DejaVu Sans"/>
          <w:i/>
          <w:iCs/>
          <w:color w:val="000000"/>
          <w:lang w:val="en-US" w:eastAsia="en-US" w:bidi="en-US"/>
        </w:rPr>
        <w:t xml:space="preserve"> e </w:t>
      </w:r>
      <w:r>
        <w:rPr>
          <w:rFonts w:ascii="Liberation Serif" w:hAnsi="Liberation Serif" w:eastAsia="Segoe UI" w:cs="DejaVu Sans"/>
          <w:b/>
          <w:bCs/>
          <w:i/>
          <w:iCs/>
          <w:color w:val="000000"/>
          <w:lang w:val="en-US" w:eastAsia="en-US" w:bidi="en-US"/>
        </w:rPr>
        <w:t>estrutura mínima</w:t>
      </w:r>
      <w:r>
        <w:rPr>
          <w:rFonts w:ascii="Liberation Serif" w:hAnsi="Liberation Serif" w:eastAsia="Segoe UI" w:cs="DejaVu Sans"/>
          <w:i/>
          <w:iCs/>
          <w:color w:val="000000"/>
          <w:lang w:val="en-US" w:eastAsia="en-US" w:bidi="en-US"/>
        </w:rPr>
        <w:t xml:space="preserve">, com equipamentos, instalações e equipe de profissionais ou corpo técnico para a execução do objeto </w:t>
      </w:r>
      <w:r>
        <w:rPr>
          <w:rFonts w:ascii="Liberation Serif" w:hAnsi="Liberation Serif" w:eastAsia="Segoe UI" w:cs="DejaVu Sans"/>
          <w:b/>
          <w:bCs/>
          <w:i/>
          <w:iCs/>
          <w:color w:val="000000"/>
          <w:lang w:val="en-US" w:eastAsia="en-US" w:bidi="en-US"/>
        </w:rPr>
        <w:t>incompatíveis com a natureza profissional da pessoa física</w:t>
      </w:r>
      <w:r>
        <w:rPr>
          <w:rFonts w:ascii="Liberation Serif" w:hAnsi="Liberation Serif" w:eastAsia="Segoe UI" w:cs="DejaVu Sans"/>
          <w:i/>
          <w:iCs/>
          <w:color w:val="000000"/>
          <w:lang w:val="en-US" w:eastAsia="en-US" w:bidi="en-US"/>
        </w:rPr>
        <w:t xml:space="preserve">, conforme </w:t>
      </w:r>
      <w:r>
        <w:rPr>
          <w:rFonts w:ascii="Liberation Serif" w:hAnsi="Liberation Serif" w:eastAsia="Segoe UI" w:cs="DejaVu Sans"/>
          <w:b/>
          <w:bCs/>
          <w:i/>
          <w:iCs/>
          <w:color w:val="000000"/>
          <w:lang w:val="en-US" w:eastAsia="en-US" w:bidi="en-US"/>
        </w:rPr>
        <w:t>demonstrado em estudo técnico preliminar</w:t>
      </w:r>
      <w:r>
        <w:rPr>
          <w:rFonts w:ascii="Liberation Serif" w:hAnsi="Liberation Serif" w:eastAsia="Segoe UI" w:cs="DejaVu Sans"/>
          <w:i/>
          <w:iCs/>
          <w:color w:val="000000"/>
          <w:lang w:val="en-US" w:eastAsia="en-US" w:bidi="en-US"/>
        </w:rPr>
        <w:t xml:space="preserve">”. Portanto, a possibilidade, ou não, de contratação de pessoas físicas deverá ser objeto de prévia análise e manifestação técnica por parte do órgão contratante, na fase de planejamento da contratação. </w:t>
      </w:r>
    </w:p>
    <w:p>
      <w:r>
        <w:rPr>
          <w:rFonts w:ascii="Liberation Serif" w:hAnsi="Liberation Serif" w:eastAsia="Segoe UI" w:cs="DejaVu Sans"/>
          <w:i/>
          <w:iCs/>
          <w:color w:val="000000"/>
          <w:lang w:val="en-US" w:eastAsia="en-US" w:bidi="en-US"/>
        </w:rPr>
        <w:t>O Decreto n.º 10.977, de 23 de fevereiro de 2022, que regulamenta a Lei nº 7.116, de 29 de agosto de 1983, e a Lei nº 9.454, de 7 de abril de 1997, estabelece, em seu art. 3º, que a Carteira de Identidade passa a adotar o número de inscrição no Cadastro de Pessoas Físicas - CPF como o número do registro geral nacional previsto no inciso IV do </w:t>
      </w:r>
      <w:r>
        <w:rPr>
          <w:rFonts w:ascii="Liberation Serif" w:hAnsi="Liberation Serif" w:eastAsia="Segoe UI" w:cs="DejaVu Sans"/>
          <w:b/>
          <w:bCs/>
          <w:i/>
          <w:iCs/>
          <w:color w:val="000000"/>
          <w:lang w:val="en-US" w:eastAsia="en-US" w:bidi="en-US"/>
        </w:rPr>
        <w:t>caput </w:t>
      </w:r>
      <w:r>
        <w:rPr>
          <w:rFonts w:ascii="Liberation Serif" w:hAnsi="Liberation Serif" w:eastAsia="Segoe UI" w:cs="DejaVu Sans"/>
          <w:i/>
          <w:iCs/>
          <w:color w:val="000000"/>
          <w:lang w:val="en-US" w:eastAsia="en-US" w:bidi="en-US"/>
        </w:rPr>
        <w:t>do seu art. 11.</w:t>
      </w:r>
    </w:p>
  </w:comment>
  <w:comment w:id="26" w:author="Autor" w:date="0-00-00T00:00:00Z" w:initials="A">
    <w:p>
      <w:r>
        <w:rPr>
          <w:rFonts w:ascii="Liberation Serif" w:hAnsi="Liberation Serif" w:eastAsia="Segoe UI" w:cs="DejaVu Sans"/>
          <w:b/>
          <w:bCs/>
          <w:i/>
          <w:iCs/>
          <w:color w:val="000000"/>
          <w:lang w:val="en-US" w:eastAsia="en-US" w:bidi="en-US"/>
        </w:rPr>
        <w:t>Nota Explicativa</w:t>
      </w:r>
      <w:r>
        <w:rPr>
          <w:rFonts w:ascii="Liberation Serif" w:hAnsi="Liberation Serif" w:eastAsia="Segoe UI" w:cs="DejaVu Sans"/>
          <w:i/>
          <w:iCs/>
          <w:color w:val="000000"/>
          <w:lang w:val="en-US" w:eastAsia="en-US" w:bidi="en-US"/>
        </w:rPr>
        <w:t>: O art. 41 da Lei nº 14.195, de 26 de agosto de 2021, transformou todas as empresas individuais de responsabilidade limitada (EIRELI) existentes na data da entrada em vigor da Lei em sociedades limitadas unipessoais (SLU), independentemente de qualquer alteração em seus respectivos atos constitutivos.</w:t>
      </w:r>
    </w:p>
    <w:p>
      <w:r>
        <w:rPr>
          <w:rFonts w:ascii="Liberation Serif" w:hAnsi="Liberation Serif" w:eastAsia="Segoe UI" w:cs="DejaVu Sans"/>
          <w:i/>
          <w:iCs/>
          <w:color w:val="000000"/>
          <w:lang w:val="en-US" w:eastAsia="en-US" w:bidi="en-US"/>
        </w:rPr>
        <w:t>Posteriormente, o inciso VI, alíneas “a” e “b”, art. 20, da Lei nº 14.382, de 27 de junho de 2022, revogou as disposições sobre EIRELI constantes do inciso VI do caput do art. 44 e do Título I-A do Livro II da Parte Especial do Código Civil (Lei nº 10.406, de 10 de janeiro de 2002).</w:t>
      </w:r>
    </w:p>
    <w:p>
      <w:r>
        <w:rPr>
          <w:rFonts w:ascii="Liberation Serif" w:hAnsi="Liberation Serif" w:eastAsia="Segoe UI" w:cs="DejaVu Sans"/>
          <w:i/>
          <w:iCs/>
          <w:color w:val="000000"/>
          <w:lang w:val="en-US" w:eastAsia="en-US" w:bidi="en-US"/>
        </w:rPr>
        <w:t>Diante dessa situação, orientamos os agentes de contratação da seguinte forma: se a empresa for identificada como EIRELI em seus atos constitutivos, ela deverá ser considerada como convertida em SLU, automaticamente, durante o processo de contratação. Os atos constitutivos, inclusive, deverão ser considerados regulares como EIRELI, mas a empresa deverá se comportar na contratação como uma SLU.</w:t>
      </w:r>
    </w:p>
  </w:comment>
  <w:comment w:id="27" w:author="Autor" w:date="0-00-00T00:00:00Z" w:initials="A">
    <w:p>
      <w:r>
        <w:rPr>
          <w:rFonts w:ascii="Liberation Serif" w:hAnsi="Liberation Serif" w:eastAsia="Segoe UI" w:cs="DejaVu Sans"/>
          <w:b/>
          <w:bCs/>
          <w:i/>
          <w:iCs/>
          <w:color w:val="000000"/>
          <w:lang w:val="en-US" w:eastAsia="en-US" w:bidi="en-US"/>
        </w:rPr>
        <w:t>Nota Explicativa:</w:t>
      </w:r>
      <w:r>
        <w:rPr>
          <w:rFonts w:ascii="Liberation Serif" w:hAnsi="Liberation Serif" w:eastAsia="Segoe UI" w:cs="DejaVu Sans"/>
          <w:i/>
          <w:iCs/>
          <w:color w:val="000000"/>
          <w:lang w:val="en-US" w:eastAsia="en-US" w:bidi="en-US"/>
        </w:rPr>
        <w:t xml:space="preserve"> O artigo 193 do Código Tributário Nacional (Lei nº 5.172, de 25 de outubro de 1966) preceitua que a prova da quitação de todos os tributos devidos dar-se-á no âmbito da Fazenda Pública interessada, “relativos à atividade em cujo exercício contrata ou concorre”. Nessa mesma linha, o art. 68, inciso II, da Lei n.º 14.133, de 2021, estabelece a exigência de “inscrição no cadastro de contribuintes estadual e/ou municipal, se houver, relativo ao domicílio ou sede do licitante, pertinente ao seu ramo de atividade e compatível com o objeto contratual”. Dessa forma, a prova de inscrição no cadastro de contribuintes estadual ou municipal e a prova de regularidade fiscal correspondente deve levar em conta a natureza da atividade objeto da contratação e o âmbito da tributação sobre ele incidente:  tratando-se de serviços em geral, incide o ISS, tributo de competência municipal, ao passo que, para aquisições incide o ICMS, tributo de competência estadual. Cabe ao órgão contratante aferir o imposto aplicável e ajustar conforme o caso.</w:t>
      </w:r>
    </w:p>
  </w:comment>
  <w:comment w:id="28" w:author="Autor" w:date="0-00-00T00:00:00Z" w:initials="A">
    <w:p>
      <w:r>
        <w:rPr>
          <w:rFonts w:ascii="Liberation Serif" w:hAnsi="Liberation Serif" w:eastAsia="Segoe UI" w:cs="DejaVu Sans"/>
          <w:b/>
          <w:i/>
          <w:lang w:val="en-US" w:eastAsia="en-US" w:bidi="en-US"/>
        </w:rPr>
        <w:t xml:space="preserve">Nota Explicativa: </w:t>
      </w:r>
      <w:r>
        <w:rPr>
          <w:rFonts w:ascii="Liberation Serif" w:hAnsi="Liberation Serif" w:eastAsia="Segoe UI" w:cs="DejaVu Sans"/>
          <w:i/>
          <w:iCs/>
          <w:color w:val="000000"/>
          <w:lang w:val="en-US" w:eastAsia="en-US" w:bidi="en-US"/>
        </w:rPr>
        <w:t>A apresentação do Certificado de Condição de Microempreendedor Individual – CCMEI supre as exigências de inscrição nos cadastros fiscais, na medida em que essas informações constam no próprio Certificado.</w:t>
      </w:r>
    </w:p>
  </w:comment>
  <w:comment w:id="29" w:author="Autor" w:date="0-00-00T00:00:00Z" w:initials="A">
    <w:p>
      <w:r>
        <w:rPr>
          <w:rFonts w:ascii="Liberation Serif" w:hAnsi="Liberation Serif" w:eastAsia="Segoe UI" w:cs="DejaVu Sans"/>
          <w:b/>
          <w:bCs/>
          <w:i/>
          <w:iCs/>
          <w:color w:val="000000"/>
          <w:lang w:val="en-US" w:eastAsia="en-US" w:bidi="en-US"/>
        </w:rPr>
        <w:t>Nota Explicativa 1:</w:t>
      </w:r>
      <w:r>
        <w:rPr>
          <w:rFonts w:ascii="Liberation Serif" w:hAnsi="Liberation Serif" w:eastAsia="Segoe UI" w:cs="DejaVu Sans"/>
          <w:i/>
          <w:iCs/>
          <w:color w:val="000000"/>
          <w:lang w:val="en-US" w:eastAsia="en-US" w:bidi="en-US"/>
        </w:rPr>
        <w:t xml:space="preserve"> A Administração deve examinar, diante do caso concreto, se o objeto da contratação demanda a exigência de todos os requisitos de habilitação apresentados neste modelo, levando-se em consideração o vulto e/ou a complexidade e a essencialidade do objeto, bem como os riscos decorrentes de sua paralisação em função da eventual incapacidade econômica da contratada em suportar os deveres contratuais, excluindo-se o que entender excessivo. Nesse sentido, a exigência pode restringir-se a alguns itens, como, por exemplo, somente aos itens não exclusivos a microempresa e empresas de pequeno porte, ou mesmo não ser exigida para nenhum deles, caso em que deve ser suprimida do documento. Conforme Nota Explicativa do início deste tópico, a exigência de qualificação técnica e econômica nas circunstâncias previstas no art. 70, III da Lei n.º 14.133, de 2021, deve ser excepcional e justificada, à luz do art. 37, XXI, da Constituição Federal.</w:t>
      </w:r>
    </w:p>
    <w:p>
      <w:r>
        <w:rPr>
          <w:rFonts w:ascii="Liberation Serif" w:hAnsi="Liberation Serif" w:eastAsia="Segoe UI"/>
          <w:lang w:val="en-US" w:eastAsia="en-US" w:bidi="en-US"/>
        </w:rPr>
      </w:r>
    </w:p>
    <w:p>
      <w:r>
        <w:rPr>
          <w:rFonts w:ascii="Liberation Serif" w:hAnsi="Liberation Serif" w:eastAsia="Segoe UI" w:cs="DejaVu Sans"/>
          <w:b/>
          <w:bCs/>
          <w:i/>
          <w:iCs/>
          <w:color w:val="000000"/>
          <w:lang w:val="en-US" w:eastAsia="en-US" w:bidi="en-US"/>
        </w:rPr>
        <w:t>Nota Explicativa 2:</w:t>
      </w:r>
      <w:r>
        <w:rPr>
          <w:rFonts w:ascii="Liberation Serif" w:hAnsi="Liberation Serif" w:eastAsia="Segoe UI" w:cs="DejaVu Sans"/>
          <w:i/>
          <w:iCs/>
          <w:color w:val="000000"/>
          <w:lang w:val="en-US" w:eastAsia="en-US" w:bidi="en-US"/>
        </w:rPr>
        <w:t xml:space="preserve"> É possível adotar critérios de habilitação econômico-financeira com requisitos diferenciados, estabelecidos conforme as peculiaridades do objeto a ser contratado, com justificativa do percentual adotado nos autos do processo.</w:t>
      </w:r>
    </w:p>
    <w:p>
      <w:r>
        <w:rPr>
          <w:rFonts w:ascii="Liberation Serif" w:hAnsi="Liberation Serif" w:eastAsia="Segoe UI"/>
          <w:lang w:val="en-US" w:eastAsia="en-US" w:bidi="en-US"/>
        </w:rPr>
      </w:r>
    </w:p>
    <w:p>
      <w:r>
        <w:rPr>
          <w:rFonts w:ascii="Liberation Serif" w:hAnsi="Liberation Serif" w:eastAsia="DejaVu Sans" w:cs="DejaVu Sans"/>
          <w:lang w:val="en-US" w:eastAsia="en-US" w:bidi="en-US"/>
        </w:rPr>
        <w:t>Nota Explicativa 3: Em se tratando de contratação direta não precedida de dispensa eletrônica, os aspectos da habilitação da empresa, sobretudo os ligados à qualificação técnica e econômica, podem estar discriminados no processo administrativo, ao se motivar a escolha do fornecedor, caso em que não precisam constar do Termo de Referência.</w:t>
      </w:r>
    </w:p>
  </w:comment>
  <w:comment w:id="30" w:author="Autor" w:date="0-00-00T00:00:00Z" w:initials="A">
    <w:p>
      <w:r>
        <w:rPr>
          <w:rFonts w:ascii="Liberation Serif" w:hAnsi="Liberation Serif" w:eastAsia="DejaVu Sans" w:cs="DejaVu Sans"/>
          <w:lang w:val="en-US" w:eastAsia="en-US" w:bidi="en-US"/>
        </w:rPr>
        <w:t xml:space="preserve">Nota Explicativa 1: A Lei n.º 14.133 de 2021, em seu art. 69, inciso I, prevê que a prova de qualificação econômico-financeira do licitante será restrita à apresentação, dentre outros documentos, do balanço patrimonial, das demonstrações de resultado e demais demonstrações contábeis dos 2 (dois) últimos exercícios sociais, ampliando, com isso, o limite temporal da exigência constante do art. 31, inciso I, da Lei n.º 8.666 de 1993, que limitava a exigência à documentação relativa ao “último exercício social”. </w:t>
      </w:r>
    </w:p>
    <w:p>
      <w:r>
        <w:rPr>
          <w:rFonts w:ascii="Liberation Serif" w:hAnsi="Liberation Serif" w:eastAsia="DejaVu Sans" w:cs="DejaVu Sans"/>
          <w:lang w:val="en-US" w:eastAsia="en-US" w:bidi="en-US"/>
        </w:rPr>
        <w:t xml:space="preserve">Ao interpretar a referida disposição, o PARECER n. 00017/2024/CNLCA/CGU/AGU (NUP: 08658.083758/2024-38) concluiu pela ausência de previsão legal expressa indicando que os índices previstos no caput do artigo 69 da Lei n.º 14.133, de 2021, devam necessariamente ser atingidos nos dois últimos exercícios, de modo que tal exigência “pode alcançar mais de um ano em hipóteses que estejam devidamente justificadas pela Administração.”, sendo conferida ao gestor, assim, “a possibilidade de modulação da exigência e limitá-la a um período menor, como por exemplo apenas o último exercício social”.  Nesse contexto, caberá ao gestor, em cada caso concreto, avaliar, fundamentadamente, a pertinência de exigir a prova de atendimento dos índices estabelecidos no edital em relação ao último ou aos dois últimos exercícios sociais, fixando apenas as exigências de qualificação econômico-financeiras consideradas indispensáveis à garantia do cumprimento das obrigações do futuro contrato, nos termos do art. 37, inciso XXI, da Constituição. Caso a Administração decida, de forma justificada, por estender a exigência aos dois últimos exercícios sociais, a apuração dos indicadores a serem atendidos deverá ser feita separadamente, em relação a cada um dos exercícios sociais, tal como se mostra usualmente adotado no âmbito da contabilidade (art. 69, § 5º, da Lei n.º 14.133, de 2021). </w:t>
      </w:r>
    </w:p>
  </w:comment>
  <w:comment w:id="31" w:author="Autor" w:date="0-00-00T00:00:00Z" w:initials="A">
    <w:p>
      <w:r>
        <w:rPr>
          <w:rFonts w:ascii="Liberation Serif" w:hAnsi="Liberation Serif" w:eastAsia="DejaVu Sans" w:cs="DejaVu Sans"/>
          <w:lang w:val="en-US" w:eastAsia="en-US" w:bidi="en-US"/>
        </w:rPr>
        <w:t xml:space="preserve">Nota Explicativa: Inserir essa previsão quando for fixada a necessidade de apresentação do balanço e das demais demonstrações contábeis relativos aos 2 (dois) últimos exercícios sociais.  </w:t>
      </w:r>
    </w:p>
  </w:comment>
  <w:comment w:id="32" w:author="Autor" w:date="0-00-00T00:00:00Z" w:initials="A">
    <w:p>
      <w:r>
        <w:rPr>
          <w:rFonts w:ascii="Liberation Serif" w:hAnsi="Liberation Serif" w:eastAsia="Segoe UI" w:cs="DejaVu Sans"/>
          <w:b/>
          <w:bCs/>
          <w:i/>
          <w:iCs/>
          <w:color w:val="000000"/>
          <w:lang w:val="en-US" w:eastAsia="en-US" w:bidi="en-US"/>
        </w:rPr>
        <w:t>Nota Explicativa 1</w:t>
      </w:r>
      <w:r>
        <w:rPr>
          <w:rFonts w:ascii="Liberation Serif" w:hAnsi="Liberation Serif" w:eastAsia="Segoe UI" w:cs="DejaVu Sans"/>
          <w:i/>
          <w:iCs/>
          <w:color w:val="000000"/>
          <w:lang w:val="en-US" w:eastAsia="en-US" w:bidi="en-US"/>
        </w:rPr>
        <w:t>: A Lei 14133/21 não prevê apresentação de atestados para comprovação de qualificação técnica no caso de compras. A exigência aqui somente tem cabimento quando houver alguma atividade envolvida com o fornecimento do bem que justifique esse cuidado. É o caso, por exemplo, de uma logística complexa para entrega de bens em todo território nacional e cuja falta possa acarretar sérios danos à saúde das pessoas. Também pode ser citado como exemplo a montagem e a instalação de equipamentos sofisticados, que exige conhecimento especializado. De todo modo, como se vê, os atestados se referem a um serviço associado ao bem e não ao bem em si.</w:t>
      </w:r>
    </w:p>
    <w:p>
      <w:r>
        <w:rPr>
          <w:rFonts w:ascii="Liberation Serif" w:hAnsi="Liberation Serif" w:eastAsia="Segoe UI"/>
          <w:lang w:val="en-US" w:eastAsia="en-US" w:bidi="en-US"/>
        </w:rPr>
      </w:r>
    </w:p>
    <w:p>
      <w:r>
        <w:rPr>
          <w:rFonts w:ascii="Liberation Serif" w:hAnsi="Liberation Serif" w:eastAsia="Segoe UI" w:cs="DejaVu Sans"/>
          <w:b/>
          <w:bCs/>
          <w:i/>
          <w:iCs/>
          <w:color w:val="000000"/>
          <w:lang w:val="en-US" w:eastAsia="en-US" w:bidi="en-US"/>
        </w:rPr>
        <w:t>Nota Explicativa 2:</w:t>
      </w:r>
      <w:r>
        <w:rPr>
          <w:rFonts w:ascii="Liberation Serif" w:hAnsi="Liberation Serif" w:eastAsia="Segoe UI" w:cs="DejaVu Sans"/>
          <w:i/>
          <w:iCs/>
          <w:color w:val="000000"/>
          <w:lang w:val="en-US" w:eastAsia="en-US" w:bidi="en-US"/>
        </w:rPr>
        <w:t xml:space="preserve"> A essência da capacidade operacional é procurar identificar se a futura contratada tem a infraestrutura empresarial e a capacidade de gestão de executar o objeto e, justamente por esse contexto, podem ser feitas exigências de comprovação de anterior execução de quantitativos mínimos (compatíveis com o objeto a ser contratado). Deste modo, é possível que essa comprovação se dê pelo somatório de atestados de contratos executados concomitantemente, pois revelam a capacidade operacional da empresa.</w:t>
      </w:r>
    </w:p>
    <w:p>
      <w:r>
        <w:rPr>
          <w:rFonts w:ascii="Liberation Serif" w:hAnsi="Liberation Serif" w:eastAsia="Segoe UI" w:cs="DejaVu Sans"/>
          <w:i/>
          <w:iCs/>
          <w:color w:val="000000"/>
          <w:lang w:val="en-US" w:eastAsia="en-US" w:bidi="en-US"/>
        </w:rPr>
        <w:t xml:space="preserve">De qualquer forma, é absolutamente fundamental que a exigência seja totalmente objetiva, indicando quantitativos precisos, para evitar dúvidas quanto à habilitação, que podem vir a comprometer o objetivo do processo de formalizar a contratação. </w:t>
      </w:r>
    </w:p>
    <w:p>
      <w:r>
        <w:rPr>
          <w:rFonts w:ascii="Liberation Serif" w:hAnsi="Liberation Serif" w:eastAsia="Segoe UI" w:cs="DejaVu Sans"/>
          <w:i/>
          <w:iCs/>
          <w:color w:val="000000"/>
          <w:lang w:val="en-US" w:eastAsia="en-US" w:bidi="en-US"/>
        </w:rPr>
        <w:t xml:space="preserve">Conforme §2º do art. 67 da Lei nº 14.133, de 2021, “será admitida a exigência de atestados com quantidades mínimas de até 50% (cinquenta por cento) das parcelas de que trata o referido parágrafo, vedadas limitações de tempo e de locais específicos relativas aos atestados”. Além disso, registre-se que só é possível a exigência de atestado quanto às parcelas de maior relevância, entendidas essas como as que possuem valor individual igual ou superior a 4% do valor total estimado da contratação (art. 67, §1º). </w:t>
      </w:r>
    </w:p>
    <w:p>
      <w:r>
        <w:rPr>
          <w:rFonts w:ascii="Liberation Serif" w:hAnsi="Liberation Serif" w:eastAsia="Segoe UI"/>
          <w:lang w:val="en-US" w:eastAsia="en-US" w:bidi="en-US"/>
        </w:rPr>
      </w:r>
    </w:p>
    <w:p>
      <w:r>
        <w:rPr>
          <w:rFonts w:ascii="Liberation Serif" w:hAnsi="Liberation Serif" w:eastAsia="Segoe UI" w:cs="DejaVu Sans"/>
          <w:b/>
          <w:bCs/>
          <w:i/>
          <w:iCs/>
          <w:color w:val="000000"/>
          <w:lang w:val="en-US" w:eastAsia="en-US" w:bidi="en-US"/>
        </w:rPr>
        <w:t xml:space="preserve">Nota Explicativa 3: </w:t>
      </w:r>
      <w:r>
        <w:rPr>
          <w:rFonts w:ascii="Liberation Serif" w:hAnsi="Liberation Serif" w:eastAsia="Segoe UI" w:cs="DejaVu Sans"/>
          <w:i/>
          <w:iCs/>
          <w:color w:val="000000"/>
          <w:lang w:val="en-US" w:eastAsia="en-US" w:bidi="en-US"/>
        </w:rPr>
        <w:t xml:space="preserve">Os requisitos de qualificação técnica são aplicáveis a todos os </w:t>
      </w:r>
      <w:r>
        <w:rPr>
          <w:rFonts w:ascii="Liberation Serif" w:hAnsi="Liberation Serif" w:cs="DejaVu Sans" w:eastAsia="DejaVu Sans"/>
          <w:lang w:val="en-US" w:eastAsia="en-US" w:bidi="en-US"/>
        </w:rPr>
        <w:t>interessados</w:t>
      </w:r>
      <w:r>
        <w:rPr>
          <w:rFonts w:ascii="Liberation Serif" w:hAnsi="Liberation Serif" w:cs="DejaVu Sans" w:eastAsia="Segoe UI"/>
          <w:i/>
          <w:iCs/>
          <w:color w:val="000000"/>
          <w:lang w:val="en-US" w:eastAsia="en-US" w:bidi="en-US"/>
        </w:rPr>
        <w:t>, inclusive pessoas físicas, conforme inciso I do art. 5º da Instrução Normativa Seges/ME nº 116, de 2021.</w:t>
      </w:r>
    </w:p>
    <w:p>
      <w:r>
        <w:rPr>
          <w:rFonts w:ascii="Liberation Serif" w:hAnsi="Liberation Serif" w:eastAsia="Segoe UI"/>
          <w:lang w:val="en-US" w:eastAsia="en-US" w:bidi="en-US"/>
        </w:rPr>
      </w:r>
    </w:p>
    <w:p>
      <w:r>
        <w:rPr>
          <w:rFonts w:ascii="Liberation Serif" w:hAnsi="Liberation Serif" w:eastAsia="Segoe UI" w:cs="DejaVu Sans"/>
          <w:b/>
          <w:bCs/>
          <w:i/>
          <w:iCs/>
          <w:color w:val="000000"/>
          <w:lang w:val="en-US" w:eastAsia="en-US" w:bidi="en-US"/>
        </w:rPr>
        <w:t xml:space="preserve">Nota Explicativa 4: </w:t>
      </w:r>
      <w:r>
        <w:rPr>
          <w:rFonts w:ascii="Liberation Serif" w:hAnsi="Liberation Serif" w:eastAsia="Segoe UI" w:cs="DejaVu Sans"/>
          <w:i/>
          <w:iCs/>
          <w:color w:val="000000"/>
          <w:lang w:val="en-US" w:eastAsia="en-US" w:bidi="en-US"/>
        </w:rPr>
        <w:t>Caso seja permitida a subcontratação de fornecimento com aspectos técnicos específicos, poderá ser admitida a apresentação de atestados relativos a potencial subcontratado, limitado a 25% do objeto licitado, conforme art. 67, §9º da Lei nº 14.133, de 2021.</w:t>
      </w:r>
    </w:p>
    <w:p>
      <w:r>
        <w:rPr>
          <w:rFonts w:ascii="Liberation Serif" w:hAnsi="Liberation Serif" w:eastAsia="Segoe UI" w:cs="DejaVu Sans"/>
          <w:b/>
          <w:bCs/>
          <w:i/>
          <w:iCs/>
          <w:color w:val="000000"/>
          <w:lang w:val="en-US" w:eastAsia="en-US" w:bidi="en-US"/>
        </w:rPr>
        <w:t xml:space="preserve">Em sendo esse o caso do processo, recomenda-se inserir a seguinte disposição: </w:t>
      </w:r>
    </w:p>
    <w:p>
      <w:r>
        <w:rPr>
          <w:rFonts w:ascii="Liberation Serif" w:hAnsi="Liberation Serif" w:eastAsia="Segoe UI" w:cs="DejaVu Sans"/>
          <w:b/>
          <w:bCs/>
          <w:i/>
          <w:iCs/>
          <w:color w:val="000000"/>
          <w:lang w:val="en-US" w:eastAsia="en-US" w:bidi="en-US"/>
        </w:rPr>
        <w:t>"Será admitida a apresentação de atestados relativos a potencial subcontratado em relação à parcela do fornecimento de.... ..., cuja subcontratação foi expressamente autorizada no tópico pertinente."</w:t>
      </w:r>
    </w:p>
  </w:comment>
  <w:comment w:id="33" w:author="Autor" w:date="0-00-00T00:00:00Z" w:initials="A">
    <w:p>
      <w:r>
        <w:rPr>
          <w:rFonts w:ascii="Liberation Serif" w:hAnsi="Liberation Serif" w:eastAsia="Segoe UI" w:cs="DejaVu Sans"/>
          <w:b/>
          <w:bCs/>
          <w:i/>
          <w:iCs/>
          <w:color w:val="000000"/>
          <w:lang w:val="en-US" w:eastAsia="en-US" w:bidi="en-US"/>
        </w:rPr>
        <w:t>Nota Explicativa:</w:t>
      </w:r>
      <w:r>
        <w:rPr>
          <w:rFonts w:ascii="Liberation Serif" w:hAnsi="Liberation Serif" w:eastAsia="Segoe UI" w:cs="DejaVu Sans"/>
          <w:i/>
          <w:iCs/>
          <w:color w:val="000000"/>
          <w:lang w:val="en-US" w:eastAsia="en-US" w:bidi="en-US"/>
        </w:rPr>
        <w:t xml:space="preserve"> Nesse sentido, o Parecer n. 00005/2021/CNMLC/CGU/AGU fixou que “se a filial pode até mesmo executar uma contratação formalizada com a matriz, não restam motivos para entender que os atestados de capacitação técnica emitidos em favor de uma não possam ser aproveitados pela outra, haja vista serem ambas rigorosamente a mesma empresa.” Vale observar que referido entendimento se inspirou na ORIENTAÇÃO NORMATIVA Nº 66, DE 29 DE MAIO DE 2020.</w:t>
      </w:r>
    </w:p>
  </w:comment>
  <w:comment w:id="34" w:author="Autor" w:date="0-00-00T00:00:00Z" w:initials="A">
    <w:p>
      <w:r>
        <w:rPr>
          <w:rFonts w:ascii="Liberation Serif" w:hAnsi="Liberation Serif" w:eastAsia="Segoe UI" w:cs="DejaVu Sans"/>
          <w:b/>
          <w:bCs/>
          <w:i/>
          <w:iCs/>
          <w:color w:val="000000"/>
          <w:lang w:val="en-US" w:eastAsia="en-US" w:bidi="en-US"/>
        </w:rPr>
        <w:t xml:space="preserve">Nota Explicativa 1: </w:t>
      </w:r>
      <w:r>
        <w:rPr>
          <w:rFonts w:ascii="Liberation Serif" w:hAnsi="Liberation Serif" w:eastAsia="Segoe UI" w:cs="DejaVu Sans"/>
          <w:i/>
          <w:iCs/>
          <w:color w:val="000000"/>
          <w:lang w:val="en-US" w:eastAsia="en-US" w:bidi="en-US"/>
        </w:rPr>
        <w:t>Pesquisa de Preços - A estimativa de preços deve ser precedida de regular pesquisa, nos moldes do art. 23 da Lei nº 14.133, de 2021, e da Instrução Normativa SEGES/ME nº 65, de 7 de julho 2021.</w:t>
      </w:r>
    </w:p>
    <w:p>
      <w:r>
        <w:rPr>
          <w:rFonts w:ascii="Liberation Serif" w:hAnsi="Liberation Serif" w:eastAsia="Segoe UI"/>
          <w:lang w:val="en-US" w:eastAsia="en-US" w:bidi="en-US"/>
        </w:rPr>
      </w:r>
    </w:p>
    <w:p>
      <w:r>
        <w:rPr>
          <w:rFonts w:ascii="Liberation Serif" w:hAnsi="Liberation Serif" w:eastAsia="Segoe UI" w:cs="DejaVu Sans"/>
          <w:b/>
          <w:bCs/>
          <w:i/>
          <w:iCs/>
          <w:lang w:val="en-US" w:eastAsia="en-US" w:bidi="en-US"/>
        </w:rPr>
        <w:t>Nota Explicativa 2:</w:t>
      </w:r>
      <w:r>
        <w:rPr>
          <w:rFonts w:ascii="Liberation Serif" w:hAnsi="Liberation Serif" w:eastAsia="Segoe UI" w:cs="DejaVu Sans"/>
          <w:i/>
          <w:iCs/>
          <w:lang w:val="en-US" w:eastAsia="en-US" w:bidi="en-US"/>
        </w:rPr>
        <w:t xml:space="preserve"> Os preços unitários referenciais, as memórias de cálculo e os documentos que lhe dão suporte, com os parâmetros utilizados para a obtenção dos preços e para os respectivos cálculos, devem constar de anexo ao termo de referência,</w:t>
      </w:r>
      <w:r>
        <w:rPr>
          <w:rFonts w:ascii="Liberation Serif" w:hAnsi="Liberation Serif" w:eastAsia="Segoe UI" w:cs="DejaVu Sans"/>
          <w:i/>
          <w:iCs/>
          <w:color w:val="FF0000"/>
          <w:lang w:val="en-US" w:eastAsia="en-US" w:bidi="en-US"/>
        </w:rPr>
        <w:t xml:space="preserve"> </w:t>
      </w:r>
      <w:r>
        <w:rPr>
          <w:rFonts w:ascii="Liberation Serif" w:hAnsi="Liberation Serif" w:eastAsia="Segoe UI" w:cs="DejaVu Sans"/>
          <w:i/>
          <w:iCs/>
          <w:lang w:val="en-US" w:eastAsia="en-US" w:bidi="en-US"/>
        </w:rPr>
        <w:t xml:space="preserve">nos termos do art. 9º, IX, da Instrução Normativa Seges/ME nº 81, de 2022. Caso a Administração opte por preservar o sigilo da estimativa do valor da contratação, também deverá ser preservado o sigilo desse anexo. </w:t>
      </w:r>
    </w:p>
    <w:p>
      <w:r>
        <w:rPr>
          <w:rFonts w:ascii="Liberation Serif" w:hAnsi="Liberation Serif" w:eastAsia="Segoe UI"/>
          <w:lang w:val="en-US" w:eastAsia="en-US" w:bidi="en-US"/>
        </w:rPr>
      </w:r>
    </w:p>
    <w:p>
      <w:r>
        <w:rPr>
          <w:rFonts w:ascii="Liberation Serif" w:hAnsi="Liberation Serif" w:eastAsia="Segoe UI" w:cs="DejaVu Sans"/>
          <w:b/>
          <w:bCs/>
          <w:i/>
          <w:iCs/>
          <w:lang w:val="en-US" w:eastAsia="en-US" w:bidi="en-US"/>
        </w:rPr>
        <w:t xml:space="preserve">Nota Explicativa 3: </w:t>
      </w:r>
      <w:r>
        <w:rPr>
          <w:rFonts w:ascii="Liberation Serif" w:hAnsi="Liberation Serif" w:eastAsia="Segoe UI" w:cs="DejaVu Sans"/>
          <w:i/>
          <w:iCs/>
          <w:lang w:val="en-US" w:eastAsia="en-US" w:bidi="en-US"/>
        </w:rPr>
        <w:t>Utilizar esta redação na hipótese em que for adotado o critério de julgamento por menor preço, sem caráter sigiloso.</w:t>
      </w:r>
    </w:p>
  </w:comment>
  <w:comment w:id="35" w:author="Autor" w:date="0-00-00T00:00:00Z" w:initials="A">
    <w:p>
      <w:r>
        <w:rPr>
          <w:rFonts w:ascii="Liberation Serif" w:hAnsi="Liberation Serif" w:eastAsia="DejaVu Sans" w:cs="DejaVu Sans"/>
          <w:lang w:val="en-US" w:eastAsia="en-US" w:bidi="en-US"/>
        </w:rPr>
        <w:t>Nota Explicativa: Segundo o art. 7º, §§ 4º e 5º, da Instrução Normativa SEGES/ME n.º 65, de 2021, na hipótese de dispensa de licitação com base nos incisos I e II do art. 75 da Lei nº 14.133, de 2021 (contratações de pequeno valor), a estimativa de preços da contratação poderá ser realizada concomitantemente à seleção da proposta economicamente mais vantajosa, por meio de solicitação formal de cotações a fornecedores.</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Arial">
    <w:charset w:val="00"/>
    <w:family w:val="roman"/>
    <w:pitch w:val="variable"/>
  </w:font>
  <w:font w:name="Calibri">
    <w:charset w:val="00"/>
    <w:family w:val="roman"/>
    <w:pitch w:val="variable"/>
  </w:font>
  <w:font w:name="Tahoma">
    <w:charset w:val="00"/>
    <w:family w:val="roman"/>
    <w:pitch w:val="variable"/>
  </w:font>
  <w:font w:name="Segoe UI">
    <w:charset w:val="00"/>
    <w:family w:val="roman"/>
    <w:pitch w:val="variable"/>
  </w:font>
  <w:font w:name="Liberation Sans">
    <w:altName w:val="Arial"/>
    <w:charset w:val="00"/>
    <w:family w:val="roman"/>
    <w:pitch w:val="variable"/>
  </w:font>
  <w:font w:name="Carlito">
    <w:altName w:val="Calibri"/>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Gallery w:val="Page Numbers (Bottom of Page)"/>
        <w:docPartUnique w:val="true"/>
      </w:docPartObj>
      <w:id w:val="779402867"/>
    </w:sdtPr>
    <w:sdtContent>
      <w:p>
        <w:pPr>
          <w:pStyle w:val="Rodap"/>
          <w:rPr>
            <w:color w:val="548DD4" w:themeColor="text2" w:themeTint="99"/>
            <w:spacing w:val="60"/>
            <w:sz w:val="16"/>
            <w:szCs w:val="16"/>
          </w:rPr>
        </w:pPr>
        <w:r>
          <w:rPr>
            <w:color w:val="548DD4" w:themeColor="text2" w:themeTint="99"/>
            <w:spacing w:val="60"/>
            <w:sz w:val="22"/>
            <w:szCs w:val="22"/>
          </w:rPr>
          <w:tab/>
          <w:tab/>
        </w:r>
      </w:p>
      <w:p>
        <w:pPr>
          <w:pStyle w:val="Rodap"/>
          <w:rPr/>
        </w:pPr>
        <w:r>
          <w:rPr>
            <w:color w:val="7F7F7F" w:themeColor="text1" w:themeTint="80"/>
            <w:spacing w:val="60"/>
            <w:sz w:val="22"/>
            <w:szCs w:val="22"/>
          </w:rPr>
          <w:tab/>
          <w:tab/>
        </w:r>
        <w:r>
          <w:rPr>
            <w:rFonts w:ascii="Arial" w:hAnsi="Arial"/>
            <w:color w:val="595959" w:themeColor="text1" w:themeTint="a6"/>
            <w:spacing w:val="60"/>
            <w:sz w:val="18"/>
          </w:rPr>
          <w:t>Página</w:t>
        </w:r>
        <w:r>
          <w:rPr>
            <w:rFonts w:ascii="Arial" w:hAnsi="Arial"/>
            <w:color w:val="595959" w:themeColor="text1" w:themeTint="a6"/>
            <w:sz w:val="18"/>
          </w:rPr>
          <w:t xml:space="preserve"> </w:t>
        </w:r>
        <w:r>
          <w:rPr>
            <w:rFonts w:ascii="Arial" w:hAnsi="Arial"/>
            <w:sz w:val="18"/>
          </w:rPr>
          <w:fldChar w:fldCharType="begin"/>
        </w:r>
        <w:r>
          <w:rPr>
            <w:sz w:val="18"/>
            <w:rFonts w:ascii="Arial" w:hAnsi="Arial"/>
          </w:rPr>
          <w:instrText xml:space="preserve"> PAGE </w:instrText>
        </w:r>
        <w:r>
          <w:rPr>
            <w:sz w:val="18"/>
            <w:rFonts w:ascii="Arial" w:hAnsi="Arial"/>
          </w:rPr>
          <w:fldChar w:fldCharType="separate"/>
        </w:r>
        <w:r>
          <w:rPr>
            <w:sz w:val="18"/>
            <w:rFonts w:ascii="Arial" w:hAnsi="Arial"/>
          </w:rPr>
          <w:t>2</w:t>
        </w:r>
        <w:r>
          <w:rPr>
            <w:sz w:val="18"/>
            <w:rFonts w:ascii="Arial" w:hAnsi="Arial"/>
          </w:rPr>
          <w:fldChar w:fldCharType="end"/>
        </w:r>
        <w:r>
          <w:rPr>
            <w:rFonts w:ascii="Arial" w:hAnsi="Arial"/>
            <w:color w:val="595959" w:themeColor="text1" w:themeTint="a6"/>
            <w:sz w:val="18"/>
          </w:rPr>
          <w:t xml:space="preserve"> | </w:t>
        </w:r>
        <w:r>
          <w:rPr>
            <w:rFonts w:ascii="Arial" w:hAnsi="Arial"/>
            <w:sz w:val="18"/>
          </w:rPr>
          <w:fldChar w:fldCharType="begin"/>
        </w:r>
        <w:r>
          <w:rPr>
            <w:sz w:val="18"/>
            <w:rFonts w:ascii="Arial" w:hAnsi="Arial"/>
          </w:rPr>
          <w:instrText xml:space="preserve"> NUMPAGES </w:instrText>
        </w:r>
        <w:r>
          <w:rPr>
            <w:sz w:val="18"/>
            <w:rFonts w:ascii="Arial" w:hAnsi="Arial"/>
          </w:rPr>
          <w:fldChar w:fldCharType="separate"/>
        </w:r>
        <w:r>
          <w:rPr>
            <w:sz w:val="18"/>
            <w:rFonts w:ascii="Arial" w:hAnsi="Arial"/>
          </w:rPr>
          <w:t>16</w:t>
        </w:r>
        <w:r>
          <w:rPr>
            <w:sz w:val="18"/>
            <w:rFonts w:ascii="Arial" w:hAnsi="Arial"/>
          </w:rPr>
          <w:fldChar w:fldCharType="end"/>
        </w:r>
      </w:p>
      <w:p>
        <w:pPr>
          <w:pStyle w:val="Rodap"/>
          <w:rPr>
            <w:rFonts w:ascii="Arial" w:hAnsi="Arial"/>
            <w:sz w:val="14"/>
          </w:rPr>
        </w:pPr>
        <w:r>
          <w:rPr>
            <w:rFonts w:ascii="Arial" w:hAnsi="Arial"/>
            <w:sz w:val="14"/>
          </w:rPr>
          <w:t>Câmara Nacional de Modelos de Licitações e Contratos da Consultoria-Geral da União</w:t>
        </w:r>
      </w:p>
      <w:p>
        <w:pPr>
          <w:pStyle w:val="Rodap"/>
          <w:rPr>
            <w:rFonts w:ascii="Arial" w:hAnsi="Arial"/>
            <w:color w:val="0F243E" w:themeColor="text2" w:themeShade="80"/>
            <w:sz w:val="14"/>
          </w:rPr>
        </w:pPr>
        <w:r>
          <w:rPr>
            <w:rFonts w:cs="Arial" w:ascii="Arial" w:hAnsi="Arial"/>
            <w:sz w:val="14"/>
            <w:szCs w:val="14"/>
          </w:rPr>
          <w:t xml:space="preserve">Modelo de </w:t>
        </w:r>
        <w:r>
          <w:rPr>
            <w:rFonts w:ascii="Arial" w:hAnsi="Arial"/>
            <w:sz w:val="14"/>
          </w:rPr>
          <w:t xml:space="preserve">Termo de Referência – Aquisições </w:t>
        </w:r>
        <w:r>
          <w:rPr>
            <w:rFonts w:cs="Arial" w:ascii="Arial" w:hAnsi="Arial"/>
            <w:sz w:val="14"/>
            <w:szCs w:val="14"/>
          </w:rPr>
          <w:t>– Licitação e Contratação Direta - Lei nº 14.133, de 2021</w:t>
        </w:r>
      </w:p>
      <w:p>
        <w:pPr>
          <w:pStyle w:val="Rodap"/>
          <w:rPr>
            <w:rFonts w:ascii="Arial" w:hAnsi="Arial"/>
            <w:sz w:val="14"/>
          </w:rPr>
        </w:pPr>
        <w:r>
          <w:rPr>
            <w:rFonts w:ascii="Arial" w:hAnsi="Arial"/>
            <w:sz w:val="14"/>
          </w:rPr>
          <w:t>Aprovado pela Secretaria de Gestão</w:t>
        </w:r>
        <w:r>
          <w:rPr>
            <w:rFonts w:cs="Arial" w:ascii="Arial" w:hAnsi="Arial"/>
            <w:sz w:val="14"/>
            <w:szCs w:val="14"/>
          </w:rPr>
          <w:t xml:space="preserve"> e Inovação</w:t>
        </w:r>
      </w:p>
      <w:p>
        <w:pPr>
          <w:pStyle w:val="Rodap"/>
          <w:rPr>
            <w:rFonts w:ascii="Arial" w:hAnsi="Arial"/>
            <w:sz w:val="14"/>
          </w:rPr>
        </w:pPr>
        <w:r>
          <w:rPr>
            <w:rFonts w:ascii="Arial" w:hAnsi="Arial"/>
            <w:sz w:val="14"/>
          </w:rPr>
          <w:t xml:space="preserve">Identidade visual pela Secretaria de Gestão </w:t>
        </w:r>
        <w:r>
          <w:rPr>
            <w:rFonts w:cs="Arial" w:ascii="Arial" w:hAnsi="Arial"/>
            <w:sz w:val="14"/>
            <w:szCs w:val="14"/>
          </w:rPr>
          <w:t>e Inovação</w:t>
        </w:r>
      </w:p>
      <w:p>
        <w:pPr>
          <w:pStyle w:val="Rodap"/>
          <w:rPr>
            <w:rFonts w:ascii="Arial" w:hAnsi="Arial"/>
            <w:sz w:val="14"/>
          </w:rPr>
        </w:pPr>
        <w:r>
          <w:rPr>
            <w:rFonts w:cs="Arial" w:ascii="Arial" w:hAnsi="Arial"/>
            <w:sz w:val="14"/>
            <w:szCs w:val="14"/>
          </w:rPr>
          <w:t>Atualização: ABR/2025</w:t>
        </w:r>
      </w:p>
    </w:sdtContent>
  </w:sdt>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1495" w:hanging="360"/>
      </w:pPr>
      <w:rPr>
        <w:sz w:val="22"/>
        <w:b w:val="false"/>
        <w:szCs w:val="22"/>
        <w:bCs w:val="false"/>
        <w:rFonts w:ascii="Calibri" w:hAnsi="Calibri"/>
      </w:rPr>
    </w:lvl>
    <w:lvl w:ilvl="1">
      <w:start w:val="1"/>
      <w:numFmt w:val="decimal"/>
      <w:lvlText w:val="%1.%2."/>
      <w:lvlJc w:val="left"/>
      <w:pPr>
        <w:tabs>
          <w:tab w:val="num" w:pos="0"/>
        </w:tabs>
        <w:ind w:left="1709" w:hanging="432"/>
      </w:pPr>
      <w:rPr>
        <w:dstrike w:val="false"/>
        <w:strike w:val="false"/>
        <w:sz w:val="22"/>
        <w:i w:val="false"/>
        <w:u w:val="none"/>
        <w:b w:val="false"/>
        <w:szCs w:val="22"/>
        <w:rFonts w:ascii="Calibri" w:hAnsi="Calibri"/>
        <w:color w:val="auto"/>
      </w:rPr>
    </w:lvl>
    <w:lvl w:ilvl="2">
      <w:start w:val="1"/>
      <w:numFmt w:val="decimal"/>
      <w:lvlText w:val="%1.%2.%3"/>
      <w:lvlJc w:val="left"/>
      <w:pPr>
        <w:tabs>
          <w:tab w:val="num" w:pos="0"/>
        </w:tabs>
        <w:ind w:left="3624" w:hanging="504"/>
      </w:pPr>
      <w:rPr>
        <w:dstrike w:val="false"/>
        <w:strike w:val="false"/>
        <w:sz w:val="22"/>
        <w:i w:val="false"/>
        <w:b w:val="false"/>
        <w:szCs w:val="22"/>
        <w:rFonts w:ascii="Times New Roman" w:hAnsi="Times New Roman"/>
        <w:color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2">
    <w:lvl w:ilvl="0">
      <w:start w:val="1"/>
      <w:numFmt w:val="lowerLetter"/>
      <w:lvlText w:val="%1)"/>
      <w:lvlJc w:val="left"/>
      <w:pPr>
        <w:tabs>
          <w:tab w:val="num" w:pos="0"/>
        </w:tabs>
        <w:ind w:left="2130" w:hanging="360"/>
      </w:pPr>
      <w:rPr/>
    </w:lvl>
    <w:lvl w:ilvl="1">
      <w:start w:val="1"/>
      <w:numFmt w:val="lowerLetter"/>
      <w:lvlText w:val="%2."/>
      <w:lvlJc w:val="left"/>
      <w:pPr>
        <w:tabs>
          <w:tab w:val="num" w:pos="0"/>
        </w:tabs>
        <w:ind w:left="2850" w:hanging="360"/>
      </w:pPr>
      <w:rPr/>
    </w:lvl>
    <w:lvl w:ilvl="2">
      <w:start w:val="1"/>
      <w:numFmt w:val="lowerRoman"/>
      <w:lvlText w:val="%3."/>
      <w:lvlJc w:val="right"/>
      <w:pPr>
        <w:tabs>
          <w:tab w:val="num" w:pos="0"/>
        </w:tabs>
        <w:ind w:left="3570" w:hanging="180"/>
      </w:pPr>
      <w:rPr/>
    </w:lvl>
    <w:lvl w:ilvl="3">
      <w:start w:val="1"/>
      <w:numFmt w:val="decimal"/>
      <w:lvlText w:val="%4."/>
      <w:lvlJc w:val="left"/>
      <w:pPr>
        <w:tabs>
          <w:tab w:val="num" w:pos="0"/>
        </w:tabs>
        <w:ind w:left="4290" w:hanging="360"/>
      </w:pPr>
      <w:rPr/>
    </w:lvl>
    <w:lvl w:ilvl="4">
      <w:start w:val="1"/>
      <w:numFmt w:val="lowerLetter"/>
      <w:lvlText w:val="%5."/>
      <w:lvlJc w:val="left"/>
      <w:pPr>
        <w:tabs>
          <w:tab w:val="num" w:pos="0"/>
        </w:tabs>
        <w:ind w:left="5010" w:hanging="360"/>
      </w:pPr>
      <w:rPr/>
    </w:lvl>
    <w:lvl w:ilvl="5">
      <w:start w:val="1"/>
      <w:numFmt w:val="lowerRoman"/>
      <w:lvlText w:val="%6."/>
      <w:lvlJc w:val="right"/>
      <w:pPr>
        <w:tabs>
          <w:tab w:val="num" w:pos="0"/>
        </w:tabs>
        <w:ind w:left="5730" w:hanging="180"/>
      </w:pPr>
      <w:rPr/>
    </w:lvl>
    <w:lvl w:ilvl="6">
      <w:start w:val="1"/>
      <w:numFmt w:val="decimal"/>
      <w:lvlText w:val="%7."/>
      <w:lvlJc w:val="left"/>
      <w:pPr>
        <w:tabs>
          <w:tab w:val="num" w:pos="0"/>
        </w:tabs>
        <w:ind w:left="6450" w:hanging="360"/>
      </w:pPr>
      <w:rPr/>
    </w:lvl>
    <w:lvl w:ilvl="7">
      <w:start w:val="1"/>
      <w:numFmt w:val="lowerLetter"/>
      <w:lvlText w:val="%8."/>
      <w:lvlJc w:val="left"/>
      <w:pPr>
        <w:tabs>
          <w:tab w:val="num" w:pos="0"/>
        </w:tabs>
        <w:ind w:left="7170" w:hanging="360"/>
      </w:pPr>
      <w:rPr/>
    </w:lvl>
    <w:lvl w:ilvl="8">
      <w:start w:val="1"/>
      <w:numFmt w:val="lowerRoman"/>
      <w:lvlText w:val="%9."/>
      <w:lvlJc w:val="right"/>
      <w:pPr>
        <w:tabs>
          <w:tab w:val="num" w:pos="0"/>
        </w:tabs>
        <w:ind w:left="7890" w:hanging="18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40"/>
  <w:mirrorMargins/>
  <w:defaultTabStop w:val="709"/>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 w:cs="Tahoma" w:eastAsiaTheme="minorEastAsia"/>
      <w:color w:val="auto"/>
      <w:kern w:val="0"/>
      <w:sz w:val="24"/>
      <w:szCs w:val="24"/>
      <w:lang w:val="pt-BR" w:eastAsia="pt-BR" w:bidi="ar-SA"/>
    </w:rPr>
  </w:style>
  <w:style w:type="paragraph" w:styleId="Ttulo1">
    <w:name w:val="Heading 1"/>
    <w:basedOn w:val="Normal"/>
    <w:next w:val="Normal"/>
    <w:link w:val="Ttulo1Char"/>
    <w:uiPriority w:val="9"/>
    <w:qFormat/>
    <w:rsid w:val="00196a7f"/>
    <w:pPr>
      <w:keepNext w:val="true"/>
      <w:keepLines/>
      <w:spacing w:before="480" w:after="0"/>
      <w:outlineLvl w:val="0"/>
    </w:pPr>
    <w:rPr>
      <w:rFonts w:ascii="Arial" w:hAnsi="Arial" w:eastAsia="" w:cs="" w:cstheme="majorBidi" w:eastAsiaTheme="majorEastAsia"/>
      <w:b/>
      <w:bCs/>
      <w:sz w:val="20"/>
      <w:szCs w:val="28"/>
    </w:rPr>
  </w:style>
  <w:style w:type="paragraph" w:styleId="Ttulo2">
    <w:name w:val="Heading 2"/>
    <w:basedOn w:val="Normal"/>
    <w:next w:val="Normal"/>
    <w:link w:val="Ttulo2Char"/>
    <w:qFormat/>
    <w:rsid w:val="00196a7f"/>
    <w:pPr>
      <w:keepNext w:val="true"/>
      <w:spacing w:lineRule="auto" w:line="276" w:before="120" w:after="120"/>
      <w:ind w:left="0" w:hanging="0"/>
      <w:jc w:val="both"/>
      <w:outlineLvl w:val="1"/>
    </w:pPr>
    <w:rPr>
      <w:rFonts w:ascii="Arial" w:hAnsi="Arial" w:cs="Times New Roman"/>
      <w:sz w:val="2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 w:cs=""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unhideWhenUsed/>
    <w:qFormat/>
    <w:rsid w:val="00196a7f"/>
    <w:pPr>
      <w:keepNext w:val="true"/>
      <w:keepLines/>
      <w:spacing w:before="40" w:after="0"/>
      <w:outlineLvl w:val="3"/>
    </w:pPr>
    <w:rPr>
      <w:rFonts w:ascii="Calibri" w:hAnsi="Calibri" w:eastAsia="" w:cs=""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 w:cs=""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BalloonText"/>
    <w:uiPriority w:val="99"/>
    <w:qFormat/>
    <w:rsid w:val="003a73c1"/>
    <w:rPr>
      <w:rFonts w:ascii="Tahoma" w:hAnsi="Tahoma" w:cs="Tahoma"/>
      <w:sz w:val="16"/>
      <w:szCs w:val="16"/>
    </w:rPr>
  </w:style>
  <w:style w:type="character" w:styleId="Ttulo2Char" w:customStyle="1">
    <w:name w:val="Título 2 Char"/>
    <w:qFormat/>
    <w:rsid w:val="00e14b42"/>
    <w:rPr>
      <w:rFonts w:ascii="Arial" w:hAnsi="Arial"/>
      <w:lang w:eastAsia="pt-BR"/>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Hyperlink"/>
    <w:basedOn w:val="DefaultParagraphFont"/>
    <w:uiPriority w:val="99"/>
    <w:unhideWhenUsed/>
    <w:rsid w:val="00dc41dd"/>
    <w:rPr>
      <w:color w:val="0000FF" w:themeColor="hyperlink"/>
      <w:u w:val="single"/>
    </w:rPr>
  </w:style>
  <w:style w:type="character" w:styleId="CitaoChar" w:customStyle="1">
    <w:name w:val="Citação Char"/>
    <w:link w:val="Quote"/>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uiPriority w:val="99"/>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Annotationtext"/>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nnotationsubject"/>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 w:cs=""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qFormat/>
    <w:rsid w:val="007f77ad"/>
    <w:rPr>
      <w:rFonts w:ascii="Calibri" w:hAnsi="Calibri" w:eastAsia="" w:cs=""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3b3af3"/>
    <w:rPr>
      <w:rFonts w:ascii="Arial" w:hAnsi="Arial" w:eastAsia="Arial" w:cs="Arial"/>
      <w:b/>
      <w:iCs/>
      <w:color w:val="17365D" w:themeColor="text2" w:themeShade="bf"/>
      <w:spacing w:val="5"/>
      <w:kern w:val="2"/>
      <w:sz w:val="52"/>
      <w:szCs w:val="52"/>
      <w:lang w:eastAsia="pt-BR"/>
    </w:rPr>
  </w:style>
  <w:style w:type="character" w:styleId="Ttulo1Char" w:customStyle="1">
    <w:name w:val="Título 1 Char"/>
    <w:basedOn w:val="DefaultParagraphFont"/>
    <w:uiPriority w:val="9"/>
    <w:qFormat/>
    <w:rsid w:val="00501cb5"/>
    <w:rPr>
      <w:rFonts w:ascii="Arial" w:hAnsi="Arial" w:eastAsia="" w:cs="" w:cstheme="majorBidi" w:eastAsiaTheme="majorEastAsia"/>
      <w:b/>
      <w:bCs/>
      <w:szCs w:val="28"/>
      <w:lang w:eastAsia="pt-BR"/>
    </w:rPr>
  </w:style>
  <w:style w:type="character" w:styleId="Nivel01TituloChar" w:customStyle="1">
    <w:name w:val="Nivel_01_Titulo Char"/>
    <w:basedOn w:val="Nivel01Char"/>
    <w:link w:val="Nivel01Titulo"/>
    <w:qFormat/>
    <w:rsid w:val="00e967ea"/>
    <w:rPr>
      <w:rFonts w:ascii="Arial" w:hAnsi="Arial" w:eastAsia="Arial" w:cs="" w:cstheme="majorBidi"/>
      <w:b/>
      <w:i w:val="false"/>
      <w:i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 w:cs="Arial" w:eastAsiaTheme="majorEastAsia"/>
      <w:b/>
      <w:bCs w:val="false"/>
      <w:color w:val="000000"/>
      <w:szCs w:val="28"/>
      <w:lang w:eastAsia="pt-BR"/>
    </w:rPr>
  </w:style>
  <w:style w:type="character" w:styleId="Nivel4Char" w:customStyle="1">
    <w:name w:val="Nivel 4 Char"/>
    <w:basedOn w:val="DefaultParagraphFont"/>
    <w:link w:val="Nivel4"/>
    <w:qFormat/>
    <w:rsid w:val="00711273"/>
    <w:rPr>
      <w:rFonts w:ascii="Arial" w:hAnsi="Arial" w:cs="Arial"/>
      <w:bCs/>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Emphasis"/>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name w:val="FollowedHyperlink"/>
    <w:basedOn w:val="DefaultParagraphFont"/>
    <w:uiPriority w:val="99"/>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OpcionalChar" w:customStyle="1">
    <w:name w:val="Nivel 2-Opcional Char"/>
    <w:basedOn w:val="DefaultParagraphFont"/>
    <w:link w:val="Nivel2Opcional"/>
    <w:qFormat/>
    <w:locked/>
    <w:rsid w:val="00ee5824"/>
    <w:rPr>
      <w:rFonts w:ascii="Arial" w:hAnsi="Arial" w:eastAsia="Arial" w:cs="Arial"/>
      <w:i/>
      <w:color w:val="FF0000"/>
      <w:shd w:fill="76923C" w:val="clear"/>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color w:val="FF0000"/>
      <w:shd w:fill="76923C" w:val="clear"/>
      <w:lang w:eastAsia="pt-BR"/>
    </w:rPr>
  </w:style>
  <w:style w:type="character" w:styleId="Nvel3OpcionalChar" w:customStyle="1">
    <w:name w:val="Nível 3 Opcional Char"/>
    <w:basedOn w:val="DefaultParagraphFont"/>
    <w:link w:val="Nvel3Opcional"/>
    <w:qFormat/>
    <w:rsid w:val="00a831d9"/>
    <w:rPr>
      <w:rFonts w:ascii="Arial" w:hAnsi="Arial" w:eastAsia="Times New Roman" w:cs="Tahoma"/>
      <w:i/>
      <w:iCs/>
      <w:color w:val="FF0000"/>
      <w:szCs w:val="24"/>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ListParagraph"/>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 w:cs=""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uiPriority w:val="9"/>
    <w:semiHidden/>
    <w:qFormat/>
    <w:rsid w:val="00cb3192"/>
    <w:rPr>
      <w:rFonts w:ascii="Calibri" w:hAnsi="Calibri" w:eastAsia="" w:cs=""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057363"/>
    <w:rPr>
      <w:rFonts w:ascii="Arial" w:hAnsi="Arial" w:eastAsia="Cambria" w:cs="Arial" w:eastAsiaTheme="minorHAnsi"/>
      <w:b/>
      <w:bCs/>
      <w:i/>
      <w:iCs/>
      <w:color w:val="FF0000"/>
      <w:sz w:val="24"/>
      <w:szCs w:val="24"/>
      <w:lang w:eastAsia="pt-BR"/>
    </w:rPr>
  </w:style>
  <w:style w:type="character" w:styleId="Nvel02Char" w:customStyle="1">
    <w:name w:val="Nível 02 Char"/>
    <w:basedOn w:val="Nivel2OpcionalChar"/>
    <w:link w:val="Nvel02"/>
    <w:qFormat/>
    <w:rsid w:val="00ea1440"/>
    <w:rPr>
      <w:rFonts w:ascii="Arial" w:hAnsi="Arial" w:eastAsia="Arial" w:cs="Arial"/>
      <w:i w:val="false"/>
      <w:iCs/>
      <w:color w:val="FF0000"/>
      <w:shd w:fill="76923C" w:val="clear"/>
      <w:lang w:eastAsia="pt-BR"/>
    </w:rPr>
  </w:style>
  <w:style w:type="character" w:styleId="Nivel3erroChar" w:customStyle="1">
    <w:name w:val="Nivel 3-erro Char"/>
    <w:basedOn w:val="DefaultParagraphFont"/>
    <w:link w:val="Nivel3erro"/>
    <w:qFormat/>
    <w:rsid w:val="00667c40"/>
    <w:rPr>
      <w:rFonts w:ascii="Arial" w:hAnsi="Arial" w:cs="Tahoma"/>
      <w:szCs w:val="24"/>
      <w:lang w:eastAsia="pt-BR"/>
    </w:rPr>
  </w:style>
  <w:style w:type="character" w:styleId="Nvel3RChar" w:customStyle="1">
    <w:name w:val="Nível 3-R Char"/>
    <w:basedOn w:val="Nivel3erroChar"/>
    <w:link w:val="Nvel3R"/>
    <w:qFormat/>
    <w:rsid w:val="0074191c"/>
    <w:rPr>
      <w:rFonts w:ascii="Arial" w:hAnsi="Arial" w:cs="Arial"/>
      <w:i/>
      <w:iCs/>
      <w:color w:val="FF0000"/>
      <w:szCs w:val="24"/>
      <w:lang w:eastAsia="pt-BR"/>
    </w:rPr>
  </w:style>
  <w:style w:type="character" w:styleId="Nvel4RChar" w:customStyle="1">
    <w:name w:val="Nível 4-R Char"/>
    <w:basedOn w:val="Nivel4Char"/>
    <w:link w:val="Nvel4R"/>
    <w:qFormat/>
    <w:rsid w:val="00d16569"/>
    <w:rPr>
      <w:rFonts w:ascii="Arial" w:hAnsi="Arial" w:cs="Arial"/>
      <w:bCs/>
      <w:i/>
      <w:color w:val="FF0000"/>
      <w:lang w:eastAsia="pt-BR"/>
    </w:rPr>
  </w:style>
  <w:style w:type="character" w:styleId="Nvel1SemNumChar" w:customStyle="1">
    <w:name w:val="Nível 1-Sem Num Char"/>
    <w:basedOn w:val="Nivel01Char"/>
    <w:link w:val="Nvel1SemNum"/>
    <w:qFormat/>
    <w:rsid w:val="00ee5824"/>
    <w:rPr>
      <w:rFonts w:ascii="Arial" w:hAnsi="Arial" w:eastAsia="Arial" w:cs="Arial"/>
      <w:b/>
      <w:i/>
      <w:iCs w:val="false"/>
      <w:color w:val="FF0000" w:themeColor="text2" w:themeShade="bf"/>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8d252d"/>
    <w:rPr>
      <w:color w:val="605E5C"/>
      <w:shd w:fill="E1DFDD" w:val="clear"/>
    </w:rPr>
  </w:style>
  <w:style w:type="character" w:styleId="Citao2Char" w:customStyle="1">
    <w:name w:val="citação 2 Char"/>
    <w:basedOn w:val="CitaoChar"/>
    <w:link w:val="Citao2"/>
    <w:qFormat/>
    <w:rsid w:val="00573b28"/>
    <w:rPr>
      <w:rFonts w:ascii="Arial" w:hAnsi="Arial" w:eastAsia="Calibri" w:cs="Tahoma"/>
      <w:i/>
      <w:iCs/>
      <w:color w:val="000000"/>
      <w:szCs w:val="24"/>
      <w:shd w:fill="FFFFCC" w:val="clear"/>
    </w:rPr>
  </w:style>
  <w:style w:type="character" w:styleId="Nvel1SemNumeraoChar" w:customStyle="1">
    <w:name w:val="Nível 1-Sem Numeração Char"/>
    <w:basedOn w:val="Nvel1SemNumChar"/>
    <w:link w:val="Nvel1SemNumerao"/>
    <w:qFormat/>
    <w:rsid w:val="001e22b4"/>
    <w:rPr>
      <w:rFonts w:ascii="Arial" w:hAnsi="Arial" w:eastAsia="Arial" w:cs="Arial"/>
      <w:b/>
      <w:i w:val="false"/>
      <w:iCs w:val="false"/>
      <w:color w:val="FF0000" w:themeColor="text2" w:themeShade="bf"/>
      <w:spacing w:val="5"/>
      <w:kern w:val="2"/>
      <w:sz w:val="52"/>
      <w:szCs w:val="52"/>
      <w:lang w:eastAsia="pt-BR"/>
    </w:rPr>
  </w:style>
  <w:style w:type="character" w:styleId="MenoPendente6" w:customStyle="1">
    <w:name w:val="Menção Pendente6"/>
    <w:basedOn w:val="DefaultParagraphFont"/>
    <w:uiPriority w:val="99"/>
    <w:semiHidden/>
    <w:unhideWhenUsed/>
    <w:qFormat/>
    <w:rsid w:val="004b478e"/>
    <w:rPr>
      <w:color w:val="605E5C"/>
      <w:shd w:fill="E1DFDD" w:val="clear"/>
    </w:rPr>
  </w:style>
  <w:style w:type="character" w:styleId="AlteraesChar" w:customStyle="1">
    <w:name w:val="Alterações Char"/>
    <w:basedOn w:val="Nvel02Char"/>
    <w:link w:val="Alteraes"/>
    <w:uiPriority w:val="1"/>
    <w:qFormat/>
    <w:rsid w:val="00af5de1"/>
    <w:rPr>
      <w:rFonts w:ascii="Arial" w:hAnsi="Arial" w:eastAsia="Arial" w:cs="Arial"/>
      <w:i w:val="false"/>
      <w:iCs/>
      <w:color w:val="0000FF"/>
      <w:shd w:fill="76923C" w:val="clear"/>
      <w:lang w:eastAsia="pt-BR"/>
    </w:rPr>
  </w:style>
  <w:style w:type="character" w:styleId="Nivel3Char" w:customStyle="1">
    <w:name w:val="Nivel 3 Char"/>
    <w:basedOn w:val="DefaultParagraphFont"/>
    <w:link w:val="Nivel3"/>
    <w:qFormat/>
    <w:rsid w:val="00591ffe"/>
    <w:rPr>
      <w:rFonts w:ascii="Arial" w:hAnsi="Arial" w:cs="Tahoma"/>
      <w:szCs w:val="24"/>
      <w:lang w:eastAsia="pt-BR"/>
    </w:rPr>
  </w:style>
  <w:style w:type="character" w:styleId="UnresolvedMention">
    <w:name w:val="Unresolved Mention"/>
    <w:basedOn w:val="DefaultParagraphFont"/>
    <w:uiPriority w:val="99"/>
    <w:semiHidden/>
    <w:unhideWhenUsed/>
    <w:qFormat/>
    <w:rsid w:val="00793206"/>
    <w:rPr>
      <w:color w:val="605E5C"/>
      <w:shd w:fill="E1DFDD" w:val="clear"/>
    </w:rPr>
  </w:style>
  <w:style w:type="character" w:styleId="Nvel2OpcionalChar1" w:customStyle="1">
    <w:name w:val="Nível 2-Opcional Char"/>
    <w:basedOn w:val="Nvel02Char"/>
    <w:link w:val="Nvel2Opcional1"/>
    <w:qFormat/>
    <w:rsid w:val="00a70641"/>
    <w:rPr>
      <w:rFonts w:ascii="Arial" w:hAnsi="Arial" w:eastAsia="Arial" w:cs="Arial"/>
      <w:i/>
      <w:iCs/>
      <w:color w:val="FF0000"/>
      <w:shd w:fill="76923C" w:val="clear"/>
      <w:lang w:eastAsia="pt-BR"/>
    </w:rPr>
  </w:style>
  <w:style w:type="character" w:styleId="Nvel3OpcionalChar1" w:customStyle="1">
    <w:name w:val="Nível 3-Opcional Char"/>
    <w:basedOn w:val="Nivel3Char"/>
    <w:link w:val="Nvel3Opcional1"/>
    <w:qFormat/>
    <w:rsid w:val="00a70641"/>
    <w:rPr>
      <w:rFonts w:ascii="Arial" w:hAnsi="Arial" w:cs="Tahoma"/>
      <w:i/>
      <w:color w:val="FF0000"/>
      <w:szCs w:val="24"/>
      <w:lang w:eastAsia="pt-BR"/>
    </w:rPr>
  </w:style>
  <w:style w:type="character" w:styleId="Nvel1SemBlackChar" w:customStyle="1">
    <w:name w:val="Nível 1-Sem Black Char"/>
    <w:basedOn w:val="DefaultParagraphFont"/>
    <w:link w:val="Nvel1SemBlack"/>
    <w:uiPriority w:val="1"/>
    <w:qFormat/>
    <w:rsid w:val="00243342"/>
    <w:rPr>
      <w:rFonts w:ascii="Arial" w:hAnsi="Arial" w:eastAsia="" w:cs="Arial" w:eastAsiaTheme="majorEastAsia"/>
      <w:b/>
      <w:bCs/>
      <w:lang w:eastAsia="pt-BR"/>
    </w:rPr>
  </w:style>
  <w:style w:type="character" w:styleId="Nivel2Char" w:customStyle="1">
    <w:name w:val="Nivel 2 Char"/>
    <w:basedOn w:val="DefaultParagraphFont"/>
    <w:link w:val="Nivel2"/>
    <w:qFormat/>
    <w:locked/>
    <w:rsid w:val="00196a7f"/>
    <w:rPr>
      <w:rFonts w:ascii="Arial" w:hAnsi="Arial" w:eastAsia="Arial" w:cs="Arial"/>
      <w:lang w:eastAsia="pt-BR"/>
    </w:rPr>
  </w:style>
  <w:style w:type="character" w:styleId="Nvel2RedChar" w:customStyle="1">
    <w:name w:val="Nível 2 -Red Char"/>
    <w:basedOn w:val="Nivel2Char"/>
    <w:link w:val="Nvel2Red"/>
    <w:qFormat/>
    <w:rsid w:val="00196a7f"/>
    <w:rPr>
      <w:rFonts w:ascii="Arial" w:hAnsi="Arial" w:eastAsia="Arial" w:cs="Arial"/>
      <w:i/>
      <w:iCs/>
      <w:color w:val="FF0000"/>
      <w:lang w:eastAsia="pt-BR"/>
    </w:rPr>
  </w:style>
  <w:style w:type="character" w:styleId="Mentionnonrsolue1" w:customStyle="1">
    <w:name w:val="Mention non résolue1"/>
    <w:basedOn w:val="DefaultParagraphFont"/>
    <w:uiPriority w:val="99"/>
    <w:semiHidden/>
    <w:unhideWhenUsed/>
    <w:qFormat/>
    <w:rsid w:val="00196a7f"/>
    <w:rPr>
      <w:color w:val="605E5C"/>
      <w:shd w:fill="E1DFDD" w:val="clear"/>
    </w:rPr>
  </w:style>
  <w:style w:type="character" w:styleId="Findhit" w:customStyle="1">
    <w:name w:val="findhit"/>
    <w:basedOn w:val="DefaultParagraphFont"/>
    <w:qFormat/>
    <w:rsid w:val="00196a7f"/>
    <w:rPr/>
  </w:style>
  <w:style w:type="character" w:styleId="Meno1" w:customStyle="1">
    <w:name w:val="Menção1"/>
    <w:basedOn w:val="DefaultParagraphFont"/>
    <w:uiPriority w:val="99"/>
    <w:unhideWhenUsed/>
    <w:qFormat/>
    <w:rsid w:val="00196a7f"/>
    <w:rPr>
      <w:color w:val="2B579A"/>
      <w:shd w:fill="E6E6E6" w:val="clear"/>
    </w:rPr>
  </w:style>
  <w:style w:type="character" w:styleId="Nvel1SemNumPretoChar" w:customStyle="1">
    <w:name w:val="Nível 1-Sem Num Preto Char"/>
    <w:basedOn w:val="Nvel1SemNumChar"/>
    <w:link w:val="Nvel1SemNumPreto"/>
    <w:qFormat/>
    <w:rsid w:val="00196a7f"/>
    <w:rPr>
      <w:rFonts w:ascii="Arial" w:hAnsi="Arial" w:eastAsia="" w:cs="Arial" w:eastAsiaTheme="majorEastAsia"/>
      <w:b/>
      <w:bCs/>
      <w:i w:val="false"/>
      <w:iCs/>
      <w:color w:val="FF0000" w:themeColor="text2" w:themeShade="bf"/>
      <w:spacing w:val="5"/>
      <w:kern w:val="2"/>
      <w:sz w:val="52"/>
      <w:szCs w:val="52"/>
      <w:lang w:eastAsia="zh-CN" w:bidi="hi-IN"/>
    </w:rPr>
  </w:style>
  <w:style w:type="character" w:styleId="Cf01" w:customStyle="1">
    <w:name w:val="cf01"/>
    <w:basedOn w:val="DefaultParagraphFont"/>
    <w:qFormat/>
    <w:rsid w:val="00196a7f"/>
    <w:rPr>
      <w:rFonts w:ascii="Segoe UI" w:hAnsi="Segoe UI" w:cs="Segoe UI"/>
      <w:b/>
      <w:bCs/>
      <w:i/>
      <w:iCs/>
      <w:sz w:val="18"/>
      <w:szCs w:val="18"/>
    </w:rPr>
  </w:style>
  <w:style w:type="character" w:styleId="TextodecomentrioChar1" w:customStyle="1">
    <w:name w:val="Texto de comentário Char1"/>
    <w:basedOn w:val="DefaultParagraphFont"/>
    <w:uiPriority w:val="99"/>
    <w:qFormat/>
    <w:rsid w:val="00196a7f"/>
    <w:rPr>
      <w:rFonts w:ascii="Ecofont_Spranq_eco_Sans" w:hAnsi="Ecofont_Spranq_eco_Sans" w:cs="Tahoma"/>
      <w:lang w:eastAsia="pt-BR"/>
    </w:rPr>
  </w:style>
  <w:style w:type="character" w:styleId="Nvel4RedChar" w:customStyle="1">
    <w:name w:val="Nível 4-Red Char"/>
    <w:basedOn w:val="DefaultParagraphFont"/>
    <w:link w:val="Nvel4Red"/>
    <w:qFormat/>
    <w:rsid w:val="00196a7f"/>
    <w:rPr>
      <w:rFonts w:ascii="Arial" w:hAnsi="Arial" w:eastAsia="MS Mincho" w:cs="Arial"/>
      <w:iCs/>
      <w:color w:val="FF0000"/>
    </w:rPr>
  </w:style>
  <w:style w:type="character" w:styleId="Nivel4Char1" w:customStyle="1">
    <w:name w:val="Nivel 4 Char1"/>
    <w:basedOn w:val="DefaultParagraphFont"/>
    <w:qFormat/>
    <w:rsid w:val="00196a7f"/>
    <w:rPr>
      <w:rFonts w:ascii="Arial" w:hAnsi="Arial" w:cs="Arial"/>
      <w:color w:val="000000"/>
      <w:lang w:eastAsia="pt-BR"/>
    </w:rPr>
  </w:style>
  <w:style w:type="character" w:styleId="Estilo7Char" w:customStyle="1">
    <w:name w:val="Estilo7 Char"/>
    <w:basedOn w:val="Nivel2Char"/>
    <w:link w:val="Estilo7"/>
    <w:qFormat/>
    <w:rsid w:val="00196a7f"/>
    <w:rPr>
      <w:rFonts w:ascii="Arial" w:hAnsi="Arial" w:eastAsia="Arial" w:cs="Arial"/>
      <w:i/>
      <w:color w:val="FF0000"/>
      <w:lang w:eastAsia="pt-BR"/>
    </w:rPr>
  </w:style>
  <w:style w:type="character" w:styleId="Estilo8Char" w:customStyle="1">
    <w:name w:val="Estilo8 Char"/>
    <w:basedOn w:val="Nivel3Char"/>
    <w:link w:val="Estilo8"/>
    <w:qFormat/>
    <w:rsid w:val="00196a7f"/>
    <w:rPr>
      <w:rFonts w:ascii="Arial" w:hAnsi="Arial" w:cs="Arial"/>
      <w:i/>
      <w:color w:val="FF0000"/>
      <w:szCs w:val="24"/>
      <w:lang w:eastAsia="pt-BR"/>
    </w:rPr>
  </w:style>
  <w:style w:type="character" w:styleId="Nivel5Char" w:customStyle="1">
    <w:name w:val="Nivel 5 Char"/>
    <w:basedOn w:val="Nivel4Char"/>
    <w:link w:val="Nivel5"/>
    <w:qFormat/>
    <w:rsid w:val="00196a7f"/>
    <w:rPr>
      <w:rFonts w:ascii="Arial" w:hAnsi="Arial" w:cs="Arial"/>
      <w:bCs/>
      <w:i/>
      <w:color w:val="FF0000"/>
      <w:lang w:eastAsia="pt-BR"/>
    </w:rPr>
  </w:style>
  <w:style w:type="character" w:styleId="Estilo9Char" w:customStyle="1">
    <w:name w:val="Estilo9 Char"/>
    <w:basedOn w:val="Nivel5Char"/>
    <w:link w:val="Estilo9"/>
    <w:qFormat/>
    <w:rsid w:val="00196a7f"/>
    <w:rPr>
      <w:rFonts w:ascii="Arial" w:hAnsi="Arial" w:cs="Arial"/>
      <w:bCs/>
      <w:i w:val="false"/>
      <w:color w:val="FF0000"/>
      <w:szCs w:val="24"/>
      <w:lang w:eastAsia="pt-BR"/>
    </w:rPr>
  </w:style>
  <w:style w:type="character" w:styleId="Fontepargpadro">
    <w:name w:val="Fonte parág. padrão"/>
    <w:qFormat/>
    <w:rPr/>
  </w:style>
  <w:style w:type="character" w:styleId="Nfaseforte">
    <w:name w:val="Strong"/>
    <w:qFormat/>
    <w:rPr>
      <w:b/>
      <w:bCs/>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spacing w:before="0" w:after="0"/>
      <w:contextualSpacing/>
    </w:pPr>
    <w:rPr/>
  </w:style>
  <w:style w:type="paragraph" w:styleId="Notaexplicativa" w:customStyle="1">
    <w:name w:val="Nota explicativa"/>
    <w:basedOn w:val="Quote"/>
    <w:link w:val="NotaexplicativaChar"/>
    <w:qFormat/>
    <w:rsid w:val="00265fb6"/>
    <w:pPr>
      <w:shd w:val="clear" w:fill="FFFFCC"/>
    </w:pPr>
    <w:rPr>
      <w:szCs w:val="20"/>
    </w:rPr>
  </w:style>
  <w:style w:type="paragraph" w:styleId="CabealhoeRodap">
    <w:name w:val="Cabeçalho e Rodapé"/>
    <w:basedOn w:val="Normal"/>
    <w:qFormat/>
    <w:pPr/>
    <w:rPr/>
  </w:style>
  <w:style w:type="paragraph" w:styleId="Cabealho">
    <w:name w:val="Header"/>
    <w:basedOn w:val="Normal"/>
    <w:link w:val="CabealhoChar"/>
    <w:uiPriority w:val="99"/>
    <w:rsid w:val="00ca24fb"/>
    <w:pPr>
      <w:tabs>
        <w:tab w:val="clear" w:pos="709"/>
        <w:tab w:val="center" w:pos="4252" w:leader="none"/>
        <w:tab w:val="right" w:pos="8504" w:leader="none"/>
      </w:tabs>
    </w:pPr>
    <w:rPr/>
  </w:style>
  <w:style w:type="paragraph" w:styleId="Rodap">
    <w:name w:val="Footer"/>
    <w:basedOn w:val="Normal"/>
    <w:link w:val="RodapChar"/>
    <w:uiPriority w:val="99"/>
    <w:rsid w:val="00ca24fb"/>
    <w:pPr>
      <w:tabs>
        <w:tab w:val="clear" w:pos="709"/>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link w:val="AssuntodocomentrioChar"/>
    <w:uiPriority w:val="99"/>
    <w:semiHidden/>
    <w:unhideWhenUsed/>
    <w:qFormat/>
    <w:rsid w:val="00430fdb"/>
    <w:pPr/>
    <w:rPr>
      <w:b/>
      <w:bCs/>
    </w:rPr>
  </w:style>
  <w:style w:type="paragraph" w:styleId="Nivel01" w:customStyle="1">
    <w:name w:val="Nivel 01"/>
    <w:basedOn w:val="ListParagraph"/>
    <w:next w:val="Normal"/>
    <w:link w:val="Nivel01Char"/>
    <w:autoRedefine/>
    <w:qFormat/>
    <w:rsid w:val="003b3af3"/>
    <w:pPr>
      <w:widowControl/>
      <w:numPr>
        <w:ilvl w:val="0"/>
        <w:numId w:val="1"/>
      </w:numPr>
      <w:suppressAutoHyphens w:val="true"/>
      <w:bidi w:val="0"/>
      <w:spacing w:lineRule="auto" w:line="276" w:before="0" w:after="0"/>
      <w:ind w:left="1417" w:right="0" w:hanging="340"/>
      <w:contextualSpacing/>
      <w:jc w:val="both"/>
      <w:outlineLvl w:val="0"/>
    </w:pPr>
    <w:rPr>
      <w:rFonts w:ascii="Times New Roman" w:hAnsi="Times New Roman" w:eastAsia="Arial" w:cs="Arial"/>
      <w:b w:val="false"/>
      <w:bCs w:val="false"/>
      <w:iCs/>
      <w:sz w:val="22"/>
      <w:szCs w:val="22"/>
    </w:rPr>
  </w:style>
  <w:style w:type="paragraph" w:styleId="Nivel01Titulo" w:customStyle="1">
    <w:name w:val="Nivel_01_Titulo"/>
    <w:basedOn w:val="Nivel01"/>
    <w:link w:val="Nivel01TituloChar"/>
    <w:qFormat/>
    <w:rsid w:val="00196a7f"/>
    <w:pPr>
      <w:jc w:val="left"/>
    </w:pPr>
    <w:rPr>
      <w:rFonts w:cs="" w:cstheme="majorBidi"/>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 w:cs=""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196a7f"/>
    <w:pPr>
      <w:spacing w:lineRule="auto" w:line="276"/>
      <w:ind w:left="357" w:hanging="357"/>
      <w:jc w:val="both"/>
    </w:pPr>
    <w:rPr>
      <w:rFonts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Opcional" w:customStyle="1">
    <w:name w:val="Nivel 2-Opcional"/>
    <w:basedOn w:val="Normal"/>
    <w:link w:val="Nivel2OpcionalChar"/>
    <w:autoRedefine/>
    <w:qFormat/>
    <w:rsid w:val="00ee5824"/>
    <w:pPr>
      <w:shd w:val="clear" w:color="auto" w:fill="76923C" w:themeFill="accent3" w:themeFillShade="bf"/>
      <w:spacing w:lineRule="auto" w:line="276" w:before="120" w:after="120"/>
      <w:ind w:left="0" w:hanging="0"/>
      <w:jc w:val="both"/>
    </w:pPr>
    <w:rPr>
      <w:rFonts w:ascii="Arial" w:hAnsi="Arial" w:eastAsia="Arial" w:cs="Arial"/>
      <w:i/>
      <w:color w:val="FF0000"/>
      <w:sz w:val="20"/>
      <w:szCs w:val="20"/>
    </w:rPr>
  </w:style>
  <w:style w:type="paragraph" w:styleId="Nivel11" w:customStyle="1">
    <w:name w:val="Nivel 1"/>
    <w:basedOn w:val="Nivel2Opcional"/>
    <w:qFormat/>
    <w:rsid w:val="00196a7f"/>
    <w:pPr>
      <w:shd w:val="clear" w:fill="76923C"/>
      <w:ind w:left="360" w:hanging="360"/>
    </w:pPr>
    <w:rPr>
      <w:b/>
    </w:rPr>
  </w:style>
  <w:style w:type="paragraph" w:styleId="Nivel3erro" w:customStyle="1">
    <w:name w:val="Nivel 3-erro"/>
    <w:basedOn w:val="Nivel3"/>
    <w:link w:val="Nivel3erroChar"/>
    <w:autoRedefine/>
    <w:qFormat/>
    <w:rsid w:val="00196a7f"/>
    <w:pPr>
      <w:ind w:left="993" w:hanging="0"/>
    </w:pPr>
    <w:rPr/>
  </w:style>
  <w:style w:type="paragraph" w:styleId="Nivel4" w:customStyle="1">
    <w:name w:val="Nivel 4"/>
    <w:basedOn w:val="Nvel4R"/>
    <w:link w:val="Nivel4Char"/>
    <w:autoRedefine/>
    <w:qFormat/>
    <w:rsid w:val="00196a7f"/>
    <w:pPr/>
    <w:rPr>
      <w:i w:val="false"/>
      <w:color w:val="auto"/>
    </w:rPr>
  </w:style>
  <w:style w:type="paragraph" w:styleId="Nivel5" w:customStyle="1">
    <w:name w:val="Nivel 5"/>
    <w:basedOn w:val="Nvel4R"/>
    <w:link w:val="Nivel5Char"/>
    <w:autoRedefine/>
    <w:qFormat/>
    <w:rsid w:val="00196a7f"/>
    <w:pPr>
      <w:ind w:left="851"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Opcional"/>
    <w:link w:val="Nvel2OpcionalChar"/>
    <w:qFormat/>
    <w:rsid w:val="00196a7f"/>
    <w:pPr>
      <w:shd w:val="clear" w:fill="76923C"/>
      <w:ind w:left="432" w:hanging="432"/>
    </w:pPr>
    <w:rPr>
      <w:rFonts w:eastAsia="Times New Roman"/>
      <w:i w:val="false"/>
    </w:rPr>
  </w:style>
  <w:style w:type="paragraph" w:styleId="Nvel3Opcional" w:customStyle="1">
    <w:name w:val="Nível 3 Opcional"/>
    <w:basedOn w:val="Nivel3erro"/>
    <w:link w:val="Nvel3OpcionalChar"/>
    <w:qFormat/>
    <w:rsid w:val="00196a7f"/>
    <w:pPr>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autoRedefine/>
    <w:qFormat/>
    <w:rsid w:val="00196a7f"/>
    <w:pPr>
      <w:spacing w:lineRule="auto" w:line="259" w:before="60" w:after="60"/>
      <w:ind w:left="0" w:hanging="0"/>
      <w:contextualSpacing/>
      <w:jc w:val="center"/>
    </w:pPr>
    <w:rPr>
      <w:rFonts w:ascii="Arial" w:hAnsi="Arial" w:eastAsia="Cambria" w:cs="Arial" w:eastAsiaTheme="minorHAnsi"/>
      <w:b/>
      <w:bCs/>
      <w:i/>
      <w:iCs/>
      <w:color w:val="FF0000"/>
      <w:sz w:val="20"/>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02" w:customStyle="1">
    <w:name w:val="Nível 02"/>
    <w:basedOn w:val="Nivel2Opcional"/>
    <w:link w:val="Nvel02Char"/>
    <w:autoRedefine/>
    <w:qFormat/>
    <w:rsid w:val="00ea1440"/>
    <w:pPr>
      <w:shd w:val="clear" w:color="auto" w:fill="auto"/>
    </w:pPr>
    <w:rPr>
      <w:b/>
      <w:bCs/>
      <w:i w:val="false"/>
      <w:iCs/>
      <w:color w:val="000000"/>
    </w:rPr>
  </w:style>
  <w:style w:type="paragraph" w:styleId="Nvel3R" w:customStyle="1">
    <w:name w:val="Nível 3-R"/>
    <w:basedOn w:val="Nivel3erro"/>
    <w:link w:val="Nvel3RChar"/>
    <w:autoRedefine/>
    <w:qFormat/>
    <w:rsid w:val="00196a7f"/>
    <w:pPr>
      <w:ind w:left="1638" w:hanging="504"/>
    </w:pPr>
    <w:rPr>
      <w:rFonts w:cs="Arial"/>
      <w:i/>
      <w:iCs/>
      <w:color w:val="FF0000"/>
    </w:rPr>
  </w:style>
  <w:style w:type="paragraph" w:styleId="Nvel4R" w:customStyle="1">
    <w:name w:val="Nível 4-R"/>
    <w:basedOn w:val="Nvel3Opcional1"/>
    <w:link w:val="Nvel4RChar"/>
    <w:autoRedefine/>
    <w:qFormat/>
    <w:rsid w:val="00196a7f"/>
    <w:pPr>
      <w:ind w:left="567" w:hanging="0"/>
    </w:pPr>
    <w:rPr>
      <w:rFonts w:cs="Arial"/>
      <w:bCs/>
      <w:szCs w:val="20"/>
    </w:rPr>
  </w:style>
  <w:style w:type="paragraph" w:styleId="Nvel1SemNum" w:customStyle="1">
    <w:name w:val="Nível 1-Sem Num"/>
    <w:basedOn w:val="Nivel01"/>
    <w:link w:val="Nvel1SemNumChar"/>
    <w:autoRedefine/>
    <w:qFormat/>
    <w:rsid w:val="00196a7f"/>
    <w:pPr>
      <w:spacing w:before="120" w:after="120"/>
      <w:ind w:left="357" w:right="0" w:hanging="357"/>
      <w:contextualSpacing/>
      <w:outlineLvl w:val="1"/>
    </w:pPr>
    <w:rPr>
      <w:i/>
      <w:iCs w:val="false"/>
      <w:color w:val="000000"/>
    </w:rPr>
  </w:style>
  <w:style w:type="paragraph" w:styleId="Citao2" w:customStyle="1">
    <w:name w:val="citação 2"/>
    <w:basedOn w:val="Quote"/>
    <w:link w:val="Citao2Char"/>
    <w:qFormat/>
    <w:rsid w:val="00dc41dd"/>
    <w:pPr>
      <w:shd w:val="clear" w:fill="FFFFCC"/>
      <w:overflowPunct w:val="tru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Nvel1SemNumerao" w:customStyle="1">
    <w:name w:val="Nível 1-Sem Numeração"/>
    <w:basedOn w:val="Nvel1SemNum"/>
    <w:link w:val="Nvel1SemNumeraoChar"/>
    <w:autoRedefine/>
    <w:qFormat/>
    <w:rsid w:val="001e22b4"/>
    <w:pPr/>
    <w:rPr>
      <w:b/>
      <w:bCs/>
      <w:i w:val="false"/>
      <w:color w:val="auto"/>
    </w:rPr>
  </w:style>
  <w:style w:type="paragraph" w:styleId="Nivel3" w:customStyle="1">
    <w:name w:val="Nivel 3"/>
    <w:basedOn w:val="Normal"/>
    <w:link w:val="Nivel3Char"/>
    <w:qFormat/>
    <w:rsid w:val="00196a7f"/>
    <w:pPr>
      <w:spacing w:lineRule="auto" w:line="276" w:before="120" w:after="120"/>
      <w:ind w:left="284" w:hanging="0"/>
      <w:jc w:val="both"/>
    </w:pPr>
    <w:rPr>
      <w:rFonts w:ascii="Arial" w:hAnsi="Arial"/>
      <w:sz w:val="20"/>
    </w:rPr>
  </w:style>
  <w:style w:type="paragraph" w:styleId="Alteraes" w:customStyle="1">
    <w:name w:val="Alterações"/>
    <w:basedOn w:val="Nvel02"/>
    <w:link w:val="AlteraesChar"/>
    <w:uiPriority w:val="1"/>
    <w:qFormat/>
    <w:rsid w:val="00196a7f"/>
    <w:pPr>
      <w:shd w:val="clear" w:fill="FFFFFF"/>
    </w:pPr>
    <w:rPr>
      <w:color w:val="0000FF"/>
    </w:rPr>
  </w:style>
  <w:style w:type="paragraph" w:styleId="Contedodatabela" w:customStyle="1">
    <w:name w:val="Conteúdo da tabela"/>
    <w:basedOn w:val="Normal"/>
    <w:qFormat/>
    <w:rsid w:val="005f7663"/>
    <w:pPr>
      <w:widowControl w:val="false"/>
      <w:suppressLineNumbers/>
      <w:suppressAutoHyphens w:val="true"/>
      <w:textAlignment w:val="baseline"/>
    </w:pPr>
    <w:rPr>
      <w:rFonts w:ascii="Times New Roman" w:hAnsi="Times New Roman" w:eastAsia="SimSun"/>
      <w:kern w:val="2"/>
      <w:lang w:eastAsia="zh-CN" w:bidi="hi-IN"/>
    </w:rPr>
  </w:style>
  <w:style w:type="paragraph" w:styleId="Nivel21" w:customStyle="1">
    <w:name w:val="Nivel 21"/>
    <w:basedOn w:val="Normal"/>
    <w:autoRedefine/>
    <w:qFormat/>
    <w:rsid w:val="00591ffe"/>
    <w:pPr>
      <w:shd w:val="clear" w:color="auto" w:fill="948A54" w:themeFill="background2" w:themeFillShade="80"/>
      <w:spacing w:lineRule="auto" w:line="276" w:before="120" w:after="120"/>
      <w:ind w:left="999" w:hanging="432"/>
      <w:jc w:val="both"/>
    </w:pPr>
    <w:rPr>
      <w:rFonts w:ascii="Arial" w:hAnsi="Arial" w:eastAsia="Arial" w:cs="Arial"/>
      <w:color w:val="000000" w:themeColor="text1"/>
      <w:sz w:val="20"/>
      <w:szCs w:val="20"/>
    </w:rPr>
  </w:style>
  <w:style w:type="paragraph" w:styleId="Nvel2Opcional1" w:customStyle="1">
    <w:name w:val="Nível 2-Opcional"/>
    <w:basedOn w:val="Nvel02"/>
    <w:link w:val="Nvel2OpcionalChar1"/>
    <w:qFormat/>
    <w:rsid w:val="00a70641"/>
    <w:pPr>
      <w:shd w:val="clear" w:fill="FFFFFF"/>
    </w:pPr>
    <w:rPr>
      <w:i/>
      <w:color w:val="FF0000"/>
    </w:rPr>
  </w:style>
  <w:style w:type="paragraph" w:styleId="Nvel3Opcional1" w:customStyle="1">
    <w:name w:val="Nível 3-Opcional"/>
    <w:basedOn w:val="Nivel3"/>
    <w:link w:val="Nvel3OpcionalChar1"/>
    <w:qFormat/>
    <w:rsid w:val="00a70641"/>
    <w:pPr/>
    <w:rPr>
      <w:i/>
      <w:color w:val="FF0000"/>
    </w:rPr>
  </w:style>
  <w:style w:type="paragraph" w:styleId="Nvel1SemBlack" w:customStyle="1">
    <w:name w:val="Nível 1-Sem Black"/>
    <w:basedOn w:val="Normal"/>
    <w:link w:val="Nvel1SemBlackChar"/>
    <w:uiPriority w:val="1"/>
    <w:qFormat/>
    <w:rsid w:val="00243342"/>
    <w:pPr>
      <w:keepNext w:val="true"/>
      <w:keepLines/>
      <w:tabs>
        <w:tab w:val="clear" w:pos="709"/>
        <w:tab w:val="left" w:pos="567" w:leader="none"/>
      </w:tabs>
      <w:spacing w:lineRule="auto" w:line="276" w:before="240" w:after="120"/>
      <w:jc w:val="both"/>
      <w:outlineLvl w:val="1"/>
    </w:pPr>
    <w:rPr>
      <w:rFonts w:ascii="Arial" w:hAnsi="Arial" w:eastAsia="" w:cs="Arial" w:eastAsiaTheme="majorEastAsia"/>
      <w:b/>
      <w:bCs/>
      <w:sz w:val="20"/>
      <w:szCs w:val="20"/>
    </w:rPr>
  </w:style>
  <w:style w:type="paragraph" w:styleId="Nivel2" w:customStyle="1">
    <w:name w:val="Nivel 2"/>
    <w:basedOn w:val="Normal"/>
    <w:link w:val="Nivel2Char"/>
    <w:autoRedefine/>
    <w:qFormat/>
    <w:rsid w:val="00196a7f"/>
    <w:pPr>
      <w:spacing w:lineRule="auto" w:line="288" w:before="120" w:after="120"/>
      <w:jc w:val="both"/>
    </w:pPr>
    <w:rPr>
      <w:rFonts w:ascii="Times New Roman" w:hAnsi="Times New Roman" w:eastAsia="Arial" w:cs="Arial"/>
      <w:sz w:val="20"/>
      <w:szCs w:val="20"/>
    </w:rPr>
  </w:style>
  <w:style w:type="paragraph" w:styleId="Nvel2Red" w:customStyle="1">
    <w:name w:val="Nível 2 -Red"/>
    <w:basedOn w:val="Nivel2"/>
    <w:link w:val="Nvel2RedChar"/>
    <w:qFormat/>
    <w:rsid w:val="00196a7f"/>
    <w:pPr>
      <w:ind w:left="2558" w:hanging="0"/>
    </w:pPr>
    <w:rPr>
      <w:i/>
      <w:iCs/>
      <w:color w:val="FF0000"/>
    </w:rPr>
  </w:style>
  <w:style w:type="paragraph" w:styleId="Nvel1SemNumPreto" w:customStyle="1">
    <w:name w:val="Nível 1-Sem Num Preto"/>
    <w:basedOn w:val="Nvel1SemNum"/>
    <w:link w:val="Nvel1SemNumPretoChar"/>
    <w:qFormat/>
    <w:rsid w:val="00196a7f"/>
    <w:pPr>
      <w:keepNext w:val="true"/>
      <w:keepLines/>
      <w:tabs>
        <w:tab w:val="clear" w:pos="709"/>
        <w:tab w:val="left" w:pos="567" w:leader="none"/>
      </w:tabs>
      <w:spacing w:before="240" w:after="120"/>
      <w:ind w:left="720" w:right="0" w:hanging="357"/>
      <w:contextualSpacing/>
    </w:pPr>
    <w:rPr>
      <w:rFonts w:eastAsia="" w:eastAsiaTheme="majorEastAsia"/>
      <w:bCs/>
      <w:i w:val="false"/>
      <w:iCs/>
      <w:spacing w:val="5"/>
      <w:kern w:val="2"/>
      <w:sz w:val="52"/>
      <w:szCs w:val="52"/>
      <w:lang w:eastAsia="zh-CN" w:bidi="hi-IN"/>
    </w:rPr>
  </w:style>
  <w:style w:type="paragraph" w:styleId="Nvel4Red" w:customStyle="1">
    <w:name w:val="Nível 4-Red"/>
    <w:basedOn w:val="Nivel4"/>
    <w:link w:val="Nvel4RedChar"/>
    <w:autoRedefine/>
    <w:qFormat/>
    <w:rsid w:val="00196a7f"/>
    <w:pPr>
      <w:suppressAutoHyphens w:val="true"/>
      <w:ind w:left="567" w:hanging="0"/>
    </w:pPr>
    <w:rPr>
      <w:rFonts w:eastAsia="MS Mincho"/>
      <w:bCs w:val="false"/>
      <w:iCs/>
      <w:color w:val="FF0000"/>
      <w:lang w:eastAsia="en-US"/>
    </w:rPr>
  </w:style>
  <w:style w:type="paragraph" w:styleId="Estilo7" w:customStyle="1">
    <w:name w:val="Estilo7"/>
    <w:basedOn w:val="Nivel2"/>
    <w:link w:val="Estilo7Char"/>
    <w:qFormat/>
    <w:rsid w:val="00196a7f"/>
    <w:pPr/>
    <w:rPr>
      <w:i/>
      <w:color w:val="FF0000"/>
    </w:rPr>
  </w:style>
  <w:style w:type="paragraph" w:styleId="Estilo8" w:customStyle="1">
    <w:name w:val="Estilo8"/>
    <w:basedOn w:val="Nivel3"/>
    <w:link w:val="Estilo8Char"/>
    <w:qFormat/>
    <w:rsid w:val="00196a7f"/>
    <w:pPr>
      <w:ind w:left="1276" w:hanging="0"/>
    </w:pPr>
    <w:rPr>
      <w:rFonts w:cs="Arial"/>
      <w:i/>
      <w:color w:val="FF0000"/>
    </w:rPr>
  </w:style>
  <w:style w:type="paragraph" w:styleId="Estilo9" w:customStyle="1">
    <w:name w:val="Estilo9"/>
    <w:basedOn w:val="Nivel5"/>
    <w:link w:val="Estilo9Char"/>
    <w:qFormat/>
    <w:rsid w:val="00196a7f"/>
    <w:pPr>
      <w:ind w:left="1276" w:hanging="360"/>
    </w:pPr>
    <w:rPr>
      <w:i w:val="false"/>
      <w:szCs w:val="24"/>
    </w:rPr>
  </w:style>
  <w:style w:type="paragraph" w:styleId="EstiloNvel2Redesquerda176cmPrimeiralinha0cm" w:customStyle="1">
    <w:name w:val="Estilo Nível 2 -Red + À esquerda:  176 cm Primeira linha:  0 cm"/>
    <w:basedOn w:val="Nvel2Red"/>
    <w:qFormat/>
    <w:rsid w:val="00196a7f"/>
    <w:pPr>
      <w:ind w:left="999" w:hanging="0"/>
    </w:pPr>
    <w:rPr>
      <w:rFonts w:eastAsia="Times New Roman" w:cs="Times New Roman"/>
    </w:rPr>
  </w:style>
  <w:style w:type="paragraph" w:styleId="Textodecomentrio1" w:customStyle="1">
    <w:name w:val="Texto de comentário1"/>
    <w:basedOn w:val="Normal"/>
    <w:uiPriority w:val="99"/>
    <w:unhideWhenUsed/>
    <w:qFormat/>
    <w:rsid w:val="00196a7f"/>
    <w:pPr/>
    <w:rPr>
      <w:rFonts w:eastAsia="Calibri"/>
      <w:kern w:val="2"/>
      <w:sz w:val="22"/>
      <w:szCs w:val="22"/>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s://www.gov.br/empresas-e-negocios/pt-br/empreendedor" TargetMode="External"/><Relationship Id="rId4" Type="http://schemas.openxmlformats.org/officeDocument/2006/relationships/footer" Target="footer1.xml"/><Relationship Id="rId5" Type="http://schemas.openxmlformats.org/officeDocument/2006/relationships/comments" Target="comment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1182</TotalTime>
  <Application>LibreOffice/7.4.6.2$Windows_X86_64 LibreOffice_project/5b1f5509c2decdade7fda905e3e1429a67acd63d</Application>
  <AppVersion>15.0000</AppVersion>
  <Pages>16</Pages>
  <Words>6438</Words>
  <Characters>36996</Characters>
  <CharactersWithSpaces>43268</CharactersWithSpaces>
  <Paragraphs>288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2025-03-24T18:22:00Z</dcterms:created>
  <dc:creator/>
  <dc:description/>
  <dc:language>pt-BR</dc:language>
  <cp:lastModifiedBy/>
  <cp:lastPrinted>2025-06-27T11:01:39Z</cp:lastPrinted>
  <dcterms:modified xsi:type="dcterms:W3CDTF">2025-07-22T16:15:53Z</dcterms:modified>
  <cp:revision>32</cp:revision>
  <dc:subject/>
  <dc:title/>
</cp:coreProperties>
</file>

<file path=docProps/custom.xml><?xml version="1.0" encoding="utf-8"?>
<Properties xmlns="http://schemas.openxmlformats.org/officeDocument/2006/custom-properties" xmlns:vt="http://schemas.openxmlformats.org/officeDocument/2006/docPropsVTypes"/>
</file>